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38"/>
        <w:gridCol w:w="6406"/>
      </w:tblGrid>
      <w:tr w:rsidR="00CE544A" w:rsidRPr="00975B07" w14:paraId="04473DCA" w14:textId="77777777" w:rsidTr="62B73EE3">
        <w:tc>
          <w:tcPr>
            <w:tcW w:w="2438" w:type="dxa"/>
            <w:shd w:val="clear" w:color="auto" w:fill="auto"/>
          </w:tcPr>
          <w:p w14:paraId="334BE3F6" w14:textId="77777777" w:rsidR="00F445B1" w:rsidRPr="00975B07" w:rsidRDefault="00F445B1" w:rsidP="004A6D2F">
            <w:pPr>
              <w:rPr>
                <w:rStyle w:val="Firstpagetablebold"/>
              </w:rPr>
            </w:pPr>
            <w:bookmarkStart w:id="0" w:name="_Hlk202377304"/>
            <w:r w:rsidRPr="00975B07">
              <w:rPr>
                <w:rStyle w:val="Firstpagetablebold"/>
              </w:rPr>
              <w:t>To</w:t>
            </w:r>
            <w:r w:rsidR="005C35A5" w:rsidRPr="00975B07">
              <w:rPr>
                <w:rStyle w:val="Firstpagetablebold"/>
              </w:rPr>
              <w:t>:</w:t>
            </w:r>
          </w:p>
        </w:tc>
        <w:tc>
          <w:tcPr>
            <w:tcW w:w="6406" w:type="dxa"/>
            <w:shd w:val="clear" w:color="auto" w:fill="auto"/>
          </w:tcPr>
          <w:p w14:paraId="017518DB" w14:textId="5D4D7775" w:rsidR="00F445B1" w:rsidRPr="00F95BC9" w:rsidRDefault="00DB7AD7" w:rsidP="004A6D2F">
            <w:pPr>
              <w:rPr>
                <w:rStyle w:val="Firstpagetablebold"/>
              </w:rPr>
            </w:pPr>
            <w:r w:rsidRPr="62B73EE3">
              <w:rPr>
                <w:rStyle w:val="Firstpagetablebold"/>
              </w:rPr>
              <w:t>C</w:t>
            </w:r>
            <w:r w:rsidR="00B72A13">
              <w:rPr>
                <w:rStyle w:val="Firstpagetablebold"/>
              </w:rPr>
              <w:t>ou</w:t>
            </w:r>
            <w:r w:rsidR="00AC2B86">
              <w:rPr>
                <w:rStyle w:val="Firstpagetablebold"/>
              </w:rPr>
              <w:t>ncil</w:t>
            </w:r>
          </w:p>
        </w:tc>
      </w:tr>
      <w:tr w:rsidR="00CE544A" w:rsidRPr="00975B07" w14:paraId="705FA4FB" w14:textId="77777777" w:rsidTr="62B73EE3">
        <w:tc>
          <w:tcPr>
            <w:tcW w:w="2438" w:type="dxa"/>
            <w:shd w:val="clear" w:color="auto" w:fill="auto"/>
          </w:tcPr>
          <w:p w14:paraId="3C1A12A6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Dat</w:t>
            </w:r>
            <w:r w:rsidR="005C35A5" w:rsidRPr="00975B07">
              <w:rPr>
                <w:rStyle w:val="Firstpagetablebold"/>
              </w:rPr>
              <w:t>e:</w:t>
            </w:r>
          </w:p>
        </w:tc>
        <w:tc>
          <w:tcPr>
            <w:tcW w:w="6406" w:type="dxa"/>
            <w:shd w:val="clear" w:color="auto" w:fill="auto"/>
          </w:tcPr>
          <w:p w14:paraId="4F4A4C58" w14:textId="3C2412F9" w:rsidR="00F445B1" w:rsidRPr="009E30E2" w:rsidRDefault="00A40157" w:rsidP="62B73EE3">
            <w:pPr>
              <w:rPr>
                <w:b/>
                <w:bCs/>
                <w:color w:val="auto"/>
              </w:rPr>
            </w:pPr>
            <w:r>
              <w:rPr>
                <w:rStyle w:val="Firstpagetablebold"/>
                <w:rFonts w:cs="Arial"/>
                <w:b w:val="0"/>
                <w:color w:val="auto"/>
              </w:rPr>
              <w:t xml:space="preserve">14 </w:t>
            </w:r>
            <w:r w:rsidR="00DD6AC2">
              <w:rPr>
                <w:rStyle w:val="Firstpagetablebold"/>
                <w:rFonts w:cs="Arial"/>
                <w:b w:val="0"/>
                <w:color w:val="auto"/>
              </w:rPr>
              <w:t>July</w:t>
            </w:r>
            <w:r w:rsidR="00AC2B86">
              <w:rPr>
                <w:rStyle w:val="Firstpagetablebold"/>
                <w:rFonts w:cs="Arial"/>
                <w:b w:val="0"/>
                <w:color w:val="auto"/>
              </w:rPr>
              <w:t xml:space="preserve"> 2025</w:t>
            </w:r>
          </w:p>
        </w:tc>
      </w:tr>
      <w:tr w:rsidR="00CE544A" w:rsidRPr="00975B07" w14:paraId="7AED9E48" w14:textId="77777777" w:rsidTr="62B73EE3">
        <w:tc>
          <w:tcPr>
            <w:tcW w:w="2438" w:type="dxa"/>
            <w:shd w:val="clear" w:color="auto" w:fill="auto"/>
          </w:tcPr>
          <w:p w14:paraId="2049294C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>Report of</w:t>
            </w:r>
            <w:r w:rsidR="005C35A5" w:rsidRPr="00975B07">
              <w:rPr>
                <w:rStyle w:val="Firstpagetablebold"/>
              </w:rPr>
              <w:t>:</w:t>
            </w:r>
          </w:p>
        </w:tc>
        <w:tc>
          <w:tcPr>
            <w:tcW w:w="6406" w:type="dxa"/>
            <w:shd w:val="clear" w:color="auto" w:fill="auto"/>
          </w:tcPr>
          <w:p w14:paraId="31C202AE" w14:textId="058D3B06" w:rsidR="00F445B1" w:rsidRPr="009E30E2" w:rsidRDefault="00AC2B86" w:rsidP="004A6D2F">
            <w:pPr>
              <w:rPr>
                <w:rStyle w:val="Firstpagetablebold"/>
                <w:color w:val="auto"/>
              </w:rPr>
            </w:pPr>
            <w:r>
              <w:rPr>
                <w:rStyle w:val="Firstpagetablebold"/>
                <w:rFonts w:cs="Arial"/>
                <w:b w:val="0"/>
                <w:color w:val="auto"/>
              </w:rPr>
              <w:t>Gail Malkin, Head of Peopl</w:t>
            </w:r>
            <w:r w:rsidR="1BC0B843" w:rsidRPr="009E30E2">
              <w:rPr>
                <w:rStyle w:val="Firstpagetablebold"/>
                <w:rFonts w:cs="Arial"/>
                <w:b w:val="0"/>
                <w:color w:val="auto"/>
              </w:rPr>
              <w:t>e</w:t>
            </w:r>
          </w:p>
        </w:tc>
      </w:tr>
      <w:tr w:rsidR="00CE544A" w:rsidRPr="00975B07" w14:paraId="312CDF01" w14:textId="77777777" w:rsidTr="62B73EE3">
        <w:tc>
          <w:tcPr>
            <w:tcW w:w="2438" w:type="dxa"/>
            <w:shd w:val="clear" w:color="auto" w:fill="auto"/>
          </w:tcPr>
          <w:p w14:paraId="08DE1E88" w14:textId="77777777" w:rsidR="00F445B1" w:rsidRPr="00975B07" w:rsidRDefault="00F445B1" w:rsidP="004A6D2F">
            <w:pPr>
              <w:rPr>
                <w:rStyle w:val="Firstpagetablebold"/>
              </w:rPr>
            </w:pPr>
            <w:r w:rsidRPr="00975B07">
              <w:rPr>
                <w:rStyle w:val="Firstpagetablebold"/>
              </w:rPr>
              <w:t xml:space="preserve">Title of Report: </w:t>
            </w:r>
          </w:p>
        </w:tc>
        <w:tc>
          <w:tcPr>
            <w:tcW w:w="6406" w:type="dxa"/>
            <w:shd w:val="clear" w:color="auto" w:fill="auto"/>
          </w:tcPr>
          <w:p w14:paraId="4C45E9F3" w14:textId="6A4A91AC" w:rsidR="00F445B1" w:rsidRPr="009E30E2" w:rsidRDefault="00180F3B" w:rsidP="004A6D2F">
            <w:pPr>
              <w:rPr>
                <w:rStyle w:val="Firstpagetablebold"/>
                <w:color w:val="auto"/>
              </w:rPr>
            </w:pPr>
            <w:r>
              <w:rPr>
                <w:rStyle w:val="Firstpagetablebold"/>
                <w:rFonts w:cs="Arial"/>
                <w:b w:val="0"/>
                <w:color w:val="auto"/>
              </w:rPr>
              <w:t>Pay Policy</w:t>
            </w:r>
            <w:r w:rsidR="00971F2A">
              <w:rPr>
                <w:rStyle w:val="Firstpagetablebold"/>
                <w:rFonts w:cs="Arial"/>
                <w:b w:val="0"/>
                <w:color w:val="auto"/>
              </w:rPr>
              <w:t xml:space="preserve"> </w:t>
            </w:r>
          </w:p>
        </w:tc>
      </w:tr>
    </w:tbl>
    <w:p w14:paraId="2173E708" w14:textId="77777777" w:rsidR="004F20EF" w:rsidRDefault="004F20EF" w:rsidP="004A6D2F"/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438"/>
        <w:gridCol w:w="6407"/>
      </w:tblGrid>
      <w:tr w:rsidR="00D5547E" w14:paraId="30A8EDD0" w14:textId="77777777" w:rsidTr="0080749A">
        <w:tc>
          <w:tcPr>
            <w:tcW w:w="8845" w:type="dxa"/>
            <w:gridSpan w:val="2"/>
            <w:tcBorders>
              <w:bottom w:val="single" w:sz="8" w:space="0" w:color="000000"/>
            </w:tcBorders>
            <w:hideMark/>
          </w:tcPr>
          <w:p w14:paraId="7672E430" w14:textId="77777777" w:rsidR="00D5547E" w:rsidRDefault="00745BF0" w:rsidP="00745BF0">
            <w:pPr>
              <w:jc w:val="center"/>
              <w:rPr>
                <w:rStyle w:val="Firstpagetablebold"/>
              </w:rPr>
            </w:pPr>
            <w:r>
              <w:rPr>
                <w:rStyle w:val="Firstpagetablebold"/>
              </w:rPr>
              <w:t>Summary and r</w:t>
            </w:r>
            <w:r w:rsidR="00D5547E">
              <w:rPr>
                <w:rStyle w:val="Firstpagetablebold"/>
              </w:rPr>
              <w:t>ecommendations</w:t>
            </w:r>
          </w:p>
        </w:tc>
      </w:tr>
      <w:tr w:rsidR="00D5547E" w14:paraId="01894138" w14:textId="77777777" w:rsidTr="0080749A"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hideMark/>
          </w:tcPr>
          <w:p w14:paraId="5BB81F73" w14:textId="120319E8" w:rsidR="00D5547E" w:rsidRDefault="00025250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Decision being taken</w:t>
            </w:r>
            <w:r w:rsidR="00D5547E">
              <w:rPr>
                <w:rStyle w:val="Firstpagetablebold"/>
              </w:rPr>
              <w:t>:</w:t>
            </w:r>
          </w:p>
        </w:tc>
        <w:tc>
          <w:tcPr>
            <w:tcW w:w="640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hideMark/>
          </w:tcPr>
          <w:p w14:paraId="419B6548" w14:textId="1210E1B2" w:rsidR="00D5547E" w:rsidRPr="009E30E2" w:rsidRDefault="00971F2A" w:rsidP="00DB7AD7">
            <w:pPr>
              <w:rPr>
                <w:color w:val="auto"/>
              </w:rPr>
            </w:pPr>
            <w:r>
              <w:t xml:space="preserve">Council is asked to approve the </w:t>
            </w:r>
            <w:r w:rsidR="00DD6AC2">
              <w:t>pay policy</w:t>
            </w:r>
          </w:p>
        </w:tc>
      </w:tr>
      <w:tr w:rsidR="00025250" w14:paraId="43BD728D" w14:textId="77777777" w:rsidTr="0080749A">
        <w:tc>
          <w:tcPr>
            <w:tcW w:w="2438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0997AE74" w14:textId="77777777" w:rsidR="00025250" w:rsidRDefault="00025250" w:rsidP="00025250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Key decision: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B0C58F5" w14:textId="3B20667C" w:rsidR="00025250" w:rsidRPr="009E30E2" w:rsidRDefault="00073002" w:rsidP="00025250">
            <w:pPr>
              <w:rPr>
                <w:color w:val="auto"/>
              </w:rPr>
            </w:pPr>
            <w:r>
              <w:rPr>
                <w:color w:val="auto"/>
              </w:rPr>
              <w:t>No</w:t>
            </w:r>
          </w:p>
        </w:tc>
      </w:tr>
      <w:tr w:rsidR="00025250" w14:paraId="10A3E36F" w14:textId="77777777" w:rsidTr="0080749A">
        <w:tc>
          <w:tcPr>
            <w:tcW w:w="2438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55E06E9D" w14:textId="77777777" w:rsidR="00025250" w:rsidRDefault="00025250" w:rsidP="00025250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Cabinet Member: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1E006809" w14:textId="48059C89" w:rsidR="00025250" w:rsidRPr="009E30E2" w:rsidRDefault="003313AB" w:rsidP="00DC030B">
            <w:pPr>
              <w:spacing w:after="0"/>
              <w:rPr>
                <w:color w:val="auto"/>
              </w:rPr>
            </w:pPr>
            <w:r w:rsidRPr="003313AB">
              <w:rPr>
                <w:color w:val="auto"/>
              </w:rPr>
              <w:t>Cabinet Member for Focused Services and Council Companies</w:t>
            </w:r>
          </w:p>
        </w:tc>
      </w:tr>
      <w:tr w:rsidR="00025250" w14:paraId="7B700325" w14:textId="77777777" w:rsidTr="005A6F3A">
        <w:tc>
          <w:tcPr>
            <w:tcW w:w="2438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A58DBB5" w14:textId="77777777" w:rsidR="00025250" w:rsidRDefault="00025250" w:rsidP="00025250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Corporate Priority: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3DF1AC69" w14:textId="21C12C58" w:rsidR="00025250" w:rsidRPr="009E30E2" w:rsidRDefault="008B4EDE" w:rsidP="00025250">
            <w:pPr>
              <w:rPr>
                <w:color w:val="auto"/>
              </w:rPr>
            </w:pPr>
            <w:r>
              <w:rPr>
                <w:color w:val="auto"/>
              </w:rPr>
              <w:t>Well-run Council</w:t>
            </w:r>
          </w:p>
        </w:tc>
      </w:tr>
      <w:tr w:rsidR="00025250" w14:paraId="63186D5F" w14:textId="77777777" w:rsidTr="005A6F3A">
        <w:tc>
          <w:tcPr>
            <w:tcW w:w="2438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hideMark/>
          </w:tcPr>
          <w:p w14:paraId="13359BD4" w14:textId="77777777" w:rsidR="00025250" w:rsidRDefault="00025250" w:rsidP="00025250">
            <w:pPr>
              <w:rPr>
                <w:rStyle w:val="Firstpagetablebold"/>
              </w:rPr>
            </w:pPr>
            <w:r>
              <w:rPr>
                <w:rStyle w:val="Firstpagetablebold"/>
              </w:rPr>
              <w:t>Policy Framework: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0AA7D163" w14:textId="318760EA" w:rsidR="00025250" w:rsidRPr="009E30E2" w:rsidRDefault="00B01B85" w:rsidP="00025250">
            <w:pPr>
              <w:rPr>
                <w:color w:val="auto"/>
              </w:rPr>
            </w:pPr>
            <w:r>
              <w:rPr>
                <w:color w:val="auto"/>
              </w:rPr>
              <w:t>None</w:t>
            </w:r>
          </w:p>
        </w:tc>
      </w:tr>
    </w:tbl>
    <w:p w14:paraId="3B28CE5F" w14:textId="77777777" w:rsidR="00CE544A" w:rsidRDefault="00CE544A" w:rsidP="004A6D2F"/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26"/>
        <w:gridCol w:w="8419"/>
      </w:tblGrid>
      <w:tr w:rsidR="00025250" w:rsidRPr="00975B07" w14:paraId="75BF65A5" w14:textId="77777777" w:rsidTr="62B73EE3">
        <w:trPr>
          <w:trHeight w:val="413"/>
        </w:trPr>
        <w:tc>
          <w:tcPr>
            <w:tcW w:w="8845" w:type="dxa"/>
            <w:gridSpan w:val="2"/>
            <w:tcBorders>
              <w:bottom w:val="single" w:sz="8" w:space="0" w:color="000000" w:themeColor="text1"/>
            </w:tcBorders>
          </w:tcPr>
          <w:p w14:paraId="18FB24CC" w14:textId="75331894" w:rsidR="00025250" w:rsidRPr="00975B07" w:rsidRDefault="00025250" w:rsidP="00FD0B08">
            <w:r w:rsidRPr="62B73EE3">
              <w:rPr>
                <w:rStyle w:val="Firstpagetablebold"/>
              </w:rPr>
              <w:t>Recommendation(s):</w:t>
            </w:r>
            <w:r w:rsidR="571C62E4" w:rsidRPr="62B73EE3">
              <w:rPr>
                <w:rStyle w:val="Firstpagetablebold"/>
              </w:rPr>
              <w:t xml:space="preserve"> </w:t>
            </w:r>
            <w:r w:rsidRPr="62B73EE3">
              <w:rPr>
                <w:rStyle w:val="Firstpagetablebold"/>
                <w:b w:val="0"/>
              </w:rPr>
              <w:t>That C</w:t>
            </w:r>
            <w:r w:rsidR="008D1D01">
              <w:rPr>
                <w:rStyle w:val="Firstpagetablebold"/>
                <w:b w:val="0"/>
              </w:rPr>
              <w:t>ouncil</w:t>
            </w:r>
            <w:r w:rsidRPr="62B73EE3">
              <w:rPr>
                <w:rStyle w:val="Firstpagetablebold"/>
                <w:b w:val="0"/>
              </w:rPr>
              <w:t xml:space="preserve"> resolves to:</w:t>
            </w:r>
          </w:p>
        </w:tc>
      </w:tr>
      <w:tr w:rsidR="00025250" w:rsidRPr="00975B07" w14:paraId="128A7C0D" w14:textId="77777777" w:rsidTr="005A6F3A">
        <w:trPr>
          <w:trHeight w:val="283"/>
        </w:trPr>
        <w:tc>
          <w:tcPr>
            <w:tcW w:w="4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nil"/>
            </w:tcBorders>
          </w:tcPr>
          <w:p w14:paraId="4AAB6C58" w14:textId="77777777" w:rsidR="00025250" w:rsidRPr="00975B07" w:rsidRDefault="00025250" w:rsidP="00FD0B08">
            <w:r w:rsidRPr="00975B07">
              <w:t>1.</w:t>
            </w:r>
          </w:p>
        </w:tc>
        <w:tc>
          <w:tcPr>
            <w:tcW w:w="8419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</w:tcPr>
          <w:p w14:paraId="2D683A1F" w14:textId="508E8871" w:rsidR="00025250" w:rsidRPr="001356F1" w:rsidRDefault="0034481D" w:rsidP="00FD0B08">
            <w:r>
              <w:rPr>
                <w:rStyle w:val="Firstpagetablebold"/>
              </w:rPr>
              <w:t xml:space="preserve">Agree </w:t>
            </w:r>
            <w:r w:rsidRPr="005D2F7F">
              <w:rPr>
                <w:rStyle w:val="Firstpagetablebold"/>
                <w:b w:val="0"/>
                <w:bCs/>
              </w:rPr>
              <w:t xml:space="preserve">the </w:t>
            </w:r>
            <w:r w:rsidR="00727AEC" w:rsidRPr="005D2F7F">
              <w:rPr>
                <w:rStyle w:val="Firstpagetablebold"/>
                <w:b w:val="0"/>
                <w:bCs/>
              </w:rPr>
              <w:t>pay</w:t>
            </w:r>
            <w:r w:rsidRPr="005D2F7F">
              <w:rPr>
                <w:rStyle w:val="Firstpagetablebold"/>
                <w:b w:val="0"/>
                <w:bCs/>
              </w:rPr>
              <w:t xml:space="preserve"> policy</w:t>
            </w:r>
          </w:p>
        </w:tc>
      </w:tr>
    </w:tbl>
    <w:p w14:paraId="7D5A6705" w14:textId="77777777" w:rsidR="00025250" w:rsidRDefault="00025250" w:rsidP="004A6D2F"/>
    <w:p w14:paraId="3E3DC543" w14:textId="77777777" w:rsidR="00025250" w:rsidRDefault="00025250" w:rsidP="004A6D2F"/>
    <w:tbl>
      <w:tblPr>
        <w:tblW w:w="0" w:type="auto"/>
        <w:tblInd w:w="1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912"/>
        <w:gridCol w:w="2803"/>
        <w:gridCol w:w="4455"/>
      </w:tblGrid>
      <w:tr w:rsidR="002312EA" w:rsidRPr="003E4C33" w14:paraId="469C2CEE" w14:textId="77777777" w:rsidTr="62B73EE3">
        <w:trPr>
          <w:trHeight w:val="300"/>
        </w:trPr>
        <w:tc>
          <w:tcPr>
            <w:tcW w:w="1912" w:type="dxa"/>
            <w:tcBorders>
              <w:bottom w:val="single" w:sz="4" w:space="0" w:color="auto"/>
            </w:tcBorders>
          </w:tcPr>
          <w:p w14:paraId="06B4268A" w14:textId="77777777" w:rsidR="002312EA" w:rsidRPr="003E4C33" w:rsidRDefault="002312EA" w:rsidP="00FD0B08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>A</w:t>
            </w:r>
            <w:r>
              <w:rPr>
                <w:rStyle w:val="Firstpagetablebold"/>
              </w:rPr>
              <w:t>ppendix No.</w:t>
            </w:r>
          </w:p>
        </w:tc>
        <w:tc>
          <w:tcPr>
            <w:tcW w:w="2803" w:type="dxa"/>
            <w:tcBorders>
              <w:bottom w:val="single" w:sz="4" w:space="0" w:color="auto"/>
            </w:tcBorders>
          </w:tcPr>
          <w:p w14:paraId="48373E4B" w14:textId="77777777" w:rsidR="002312EA" w:rsidRPr="003E4C33" w:rsidRDefault="002312EA" w:rsidP="00FD0B08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 xml:space="preserve">Appendix Title </w:t>
            </w:r>
          </w:p>
        </w:tc>
        <w:tc>
          <w:tcPr>
            <w:tcW w:w="4455" w:type="dxa"/>
            <w:tcBorders>
              <w:bottom w:val="single" w:sz="4" w:space="0" w:color="auto"/>
            </w:tcBorders>
          </w:tcPr>
          <w:p w14:paraId="0A5DAC00" w14:textId="77777777" w:rsidR="002312EA" w:rsidRPr="003E4C33" w:rsidRDefault="002312EA" w:rsidP="00FD0B08">
            <w:pPr>
              <w:jc w:val="center"/>
              <w:rPr>
                <w:rStyle w:val="Firstpagetablebold"/>
                <w:rFonts w:cs="Arial"/>
              </w:rPr>
            </w:pPr>
            <w:r>
              <w:rPr>
                <w:rStyle w:val="Firstpagetablebold"/>
                <w:rFonts w:cs="Arial"/>
              </w:rPr>
              <w:t>Exempt from Publication</w:t>
            </w:r>
          </w:p>
        </w:tc>
      </w:tr>
      <w:tr w:rsidR="00D2020D" w:rsidRPr="003E4C33" w14:paraId="71A8C402" w14:textId="77777777" w:rsidTr="62B73EE3">
        <w:trPr>
          <w:trHeight w:val="300"/>
        </w:trPr>
        <w:tc>
          <w:tcPr>
            <w:tcW w:w="191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6754CE3" w14:textId="1FDF8396" w:rsidR="00D2020D" w:rsidRPr="009E30E2" w:rsidRDefault="00D2020D" w:rsidP="00FD0B08">
            <w:pPr>
              <w:rPr>
                <w:rStyle w:val="Firstpagetablebold"/>
                <w:rFonts w:cs="Arial"/>
                <w:color w:val="auto"/>
              </w:rPr>
            </w:pPr>
            <w:r>
              <w:rPr>
                <w:rStyle w:val="Firstpagetablebold"/>
                <w:rFonts w:cs="Arial"/>
                <w:color w:val="auto"/>
              </w:rPr>
              <w:t xml:space="preserve">Appendix </w:t>
            </w:r>
            <w:r w:rsidR="00DF5406">
              <w:rPr>
                <w:rStyle w:val="Firstpagetablebold"/>
                <w:rFonts w:cs="Arial"/>
                <w:color w:val="auto"/>
              </w:rPr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AA43" w14:textId="0ADCD125" w:rsidR="00D2020D" w:rsidRDefault="00DD6AC2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Pay Policy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46778150" w14:textId="11EF09AC" w:rsidR="00D2020D" w:rsidRDefault="00D2020D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</w:t>
            </w:r>
            <w:r>
              <w:rPr>
                <w:rFonts w:cs="Arial"/>
              </w:rPr>
              <w:t>ot exempt</w:t>
            </w:r>
          </w:p>
        </w:tc>
      </w:tr>
      <w:tr w:rsidR="00826511" w:rsidRPr="003E4C33" w14:paraId="55EEA2E0" w14:textId="77777777" w:rsidTr="62B73EE3">
        <w:trPr>
          <w:trHeight w:val="300"/>
        </w:trPr>
        <w:tc>
          <w:tcPr>
            <w:tcW w:w="191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2572F27" w14:textId="02420F3A" w:rsidR="00826511" w:rsidRPr="009E30E2" w:rsidRDefault="00826511" w:rsidP="00FD0B08">
            <w:pPr>
              <w:rPr>
                <w:rStyle w:val="Firstpagetablebold"/>
                <w:rFonts w:cs="Arial"/>
                <w:color w:val="auto"/>
              </w:rPr>
            </w:pPr>
            <w:r>
              <w:rPr>
                <w:rStyle w:val="Firstpagetablebold"/>
                <w:rFonts w:cs="Arial"/>
                <w:color w:val="auto"/>
              </w:rPr>
              <w:t>Appendix 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B653" w14:textId="76AA144D" w:rsidR="00826511" w:rsidRDefault="00826511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R</w:t>
            </w:r>
            <w:r>
              <w:t xml:space="preserve">isk </w:t>
            </w:r>
            <w:r w:rsidR="00E457FB">
              <w:t>Register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1A3748C0" w14:textId="77E651D9" w:rsidR="00826511" w:rsidRDefault="00826511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</w:t>
            </w:r>
            <w:r>
              <w:rPr>
                <w:rFonts w:cs="Arial"/>
              </w:rPr>
              <w:t>ot exempt</w:t>
            </w:r>
          </w:p>
        </w:tc>
      </w:tr>
      <w:tr w:rsidR="002312EA" w:rsidRPr="003E4C33" w14:paraId="5332D292" w14:textId="77777777" w:rsidTr="62B73EE3">
        <w:trPr>
          <w:trHeight w:val="300"/>
        </w:trPr>
        <w:tc>
          <w:tcPr>
            <w:tcW w:w="1912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389E38" w14:textId="618C0F01" w:rsidR="002312EA" w:rsidRPr="009E30E2" w:rsidRDefault="002312EA" w:rsidP="00FD0B08">
            <w:pPr>
              <w:rPr>
                <w:rStyle w:val="Firstpagetablebold"/>
                <w:rFonts w:cs="Arial"/>
                <w:color w:val="auto"/>
              </w:rPr>
            </w:pPr>
            <w:r w:rsidRPr="009E30E2">
              <w:rPr>
                <w:rStyle w:val="Firstpagetablebold"/>
                <w:rFonts w:cs="Arial"/>
                <w:color w:val="auto"/>
              </w:rPr>
              <w:t xml:space="preserve">Appendix </w:t>
            </w:r>
            <w:r w:rsidR="00826511">
              <w:rPr>
                <w:rStyle w:val="Firstpagetablebold"/>
                <w:rFonts w:cs="Arial"/>
                <w:color w:val="auto"/>
              </w:rPr>
              <w:t>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C11B" w14:textId="413A3556" w:rsidR="002312EA" w:rsidRPr="009E30E2" w:rsidRDefault="00091A8A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Equalities Impact Assessment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</w:tcPr>
          <w:p w14:paraId="0E6EFED4" w14:textId="13402AEA" w:rsidR="002312EA" w:rsidRPr="009E30E2" w:rsidRDefault="00091A8A" w:rsidP="00FD0B08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No</w:t>
            </w:r>
            <w:r w:rsidR="00D2020D">
              <w:rPr>
                <w:rFonts w:cs="Arial"/>
                <w:color w:val="auto"/>
              </w:rPr>
              <w:t>t exempt</w:t>
            </w:r>
          </w:p>
        </w:tc>
      </w:tr>
    </w:tbl>
    <w:p w14:paraId="572B1CF3" w14:textId="77777777" w:rsidR="002312EA" w:rsidRDefault="002312EA" w:rsidP="004A6D2F"/>
    <w:p w14:paraId="50E21B3B" w14:textId="77777777" w:rsidR="0040736F" w:rsidRPr="001356F1" w:rsidRDefault="00F66DCA" w:rsidP="004A6D2F">
      <w:pPr>
        <w:pStyle w:val="Heading1"/>
      </w:pPr>
      <w:r w:rsidRPr="001356F1">
        <w:t>Introduction and b</w:t>
      </w:r>
      <w:r w:rsidR="00151888" w:rsidRPr="001356F1">
        <w:t>ackground</w:t>
      </w:r>
      <w:r w:rsidR="00404032" w:rsidRPr="001356F1">
        <w:t xml:space="preserve"> </w:t>
      </w:r>
    </w:p>
    <w:p w14:paraId="3AD6D7A4" w14:textId="6F77FAC2" w:rsidR="006834FA" w:rsidRDefault="006834FA" w:rsidP="006834FA">
      <w:pPr>
        <w:pStyle w:val="ListParagraph"/>
      </w:pPr>
      <w:r>
        <w:t xml:space="preserve">The </w:t>
      </w:r>
      <w:r w:rsidR="00972938">
        <w:t>Council intends to introduce a</w:t>
      </w:r>
      <w:r>
        <w:t xml:space="preserve"> </w:t>
      </w:r>
      <w:r w:rsidR="00D16222">
        <w:t xml:space="preserve">new </w:t>
      </w:r>
      <w:r>
        <w:t xml:space="preserve">pay </w:t>
      </w:r>
      <w:r w:rsidR="00D16222">
        <w:t xml:space="preserve">policy </w:t>
      </w:r>
      <w:r w:rsidR="00720CE8">
        <w:t>t</w:t>
      </w:r>
      <w:r>
        <w:t>o support attraction and retention of people with the right skills and experience</w:t>
      </w:r>
      <w:r w:rsidR="00720CE8">
        <w:t>.</w:t>
      </w:r>
    </w:p>
    <w:p w14:paraId="3F13999F" w14:textId="623AF56A" w:rsidR="006834FA" w:rsidRDefault="00AA46F1" w:rsidP="00863DE5">
      <w:pPr>
        <w:pStyle w:val="ListParagraph"/>
      </w:pPr>
      <w:r>
        <w:t>The Council’s</w:t>
      </w:r>
      <w:r w:rsidR="006834FA">
        <w:t xml:space="preserve"> pay structure for grades 3 to 11 and for senior leaders is competitive</w:t>
      </w:r>
      <w:r w:rsidR="005B22FC">
        <w:t xml:space="preserve">, </w:t>
      </w:r>
      <w:r w:rsidR="006834FA">
        <w:t>especially when consider</w:t>
      </w:r>
      <w:r w:rsidR="005B22FC">
        <w:t>ed a</w:t>
      </w:r>
      <w:r w:rsidR="00EB4F8F">
        <w:t>longside</w:t>
      </w:r>
      <w:r w:rsidR="005B22FC">
        <w:t xml:space="preserve"> t</w:t>
      </w:r>
      <w:r w:rsidR="006834FA">
        <w:t xml:space="preserve">he total reward package that includes some good benefits such as </w:t>
      </w:r>
      <w:r w:rsidR="00C4596A">
        <w:t>the</w:t>
      </w:r>
      <w:r w:rsidR="006834FA">
        <w:t xml:space="preserve"> pension scheme, occupational sick pay and holiday entitlement</w:t>
      </w:r>
      <w:r w:rsidR="00EB4F8F">
        <w:t>.</w:t>
      </w:r>
      <w:r w:rsidR="006834FA">
        <w:t xml:space="preserve"> Hybrid working and the flexibility around hours of work </w:t>
      </w:r>
      <w:r w:rsidR="00CF61FD">
        <w:t>are</w:t>
      </w:r>
      <w:r w:rsidR="006834FA">
        <w:t xml:space="preserve"> also attractive to many applicants and </w:t>
      </w:r>
      <w:r w:rsidR="00CF61FD">
        <w:t>are</w:t>
      </w:r>
      <w:r w:rsidR="006834FA">
        <w:t xml:space="preserve"> valued by employees.</w:t>
      </w:r>
    </w:p>
    <w:p w14:paraId="6DF93257" w14:textId="280E876B" w:rsidR="006834FA" w:rsidRDefault="006834FA" w:rsidP="006834FA">
      <w:pPr>
        <w:pStyle w:val="ListParagraph"/>
      </w:pPr>
      <w:r>
        <w:t>A new</w:t>
      </w:r>
      <w:r w:rsidR="00EB4F8F">
        <w:t xml:space="preserve"> pay policy is required to set out the recent agreement between the Council and our recognised trade unions</w:t>
      </w:r>
      <w:r w:rsidR="004337C9">
        <w:t xml:space="preserve"> on incremental progression and the payment of </w:t>
      </w:r>
      <w:r w:rsidR="004337C9">
        <w:lastRenderedPageBreak/>
        <w:t>additional allowances such as honoraria payments and acting-up allowances.</w:t>
      </w:r>
      <w:r>
        <w:t xml:space="preserve"> </w:t>
      </w:r>
      <w:r w:rsidR="009E5956">
        <w:t xml:space="preserve">The policy has not changed on </w:t>
      </w:r>
      <w:r w:rsidR="00834277">
        <w:t>the payment of allowances but there was a gap in that it was not formally agreed and documented.</w:t>
      </w:r>
    </w:p>
    <w:p w14:paraId="1EC4C719" w14:textId="652CCE38" w:rsidR="00B1459C" w:rsidRDefault="00B1459C" w:rsidP="006834FA">
      <w:pPr>
        <w:pStyle w:val="ListParagraph"/>
      </w:pPr>
      <w:r>
        <w:t xml:space="preserve">Work </w:t>
      </w:r>
      <w:r w:rsidR="00F90288">
        <w:t xml:space="preserve">on the </w:t>
      </w:r>
      <w:r w:rsidR="00B46BAA">
        <w:t>policy was</w:t>
      </w:r>
      <w:r w:rsidR="0074707E">
        <w:t xml:space="preserve"> carried out </w:t>
      </w:r>
      <w:r w:rsidR="00B46BAA">
        <w:t>in partnership with</w:t>
      </w:r>
      <w:r w:rsidR="00F90288">
        <w:t xml:space="preserve"> trade union </w:t>
      </w:r>
      <w:r w:rsidR="00C4596A">
        <w:t>representative</w:t>
      </w:r>
      <w:r w:rsidR="00F90288">
        <w:t>s from Unison and Unite</w:t>
      </w:r>
      <w:r w:rsidR="006D21D5">
        <w:t xml:space="preserve"> who have agreed the policy now presented to Council.</w:t>
      </w:r>
      <w:r w:rsidR="00DA7B7D">
        <w:t xml:space="preserve"> Feedback from union </w:t>
      </w:r>
      <w:r w:rsidR="005E7113">
        <w:t xml:space="preserve">representatives </w:t>
      </w:r>
      <w:r w:rsidR="009F163F">
        <w:t>has been</w:t>
      </w:r>
      <w:r w:rsidR="00DA7B7D">
        <w:t xml:space="preserve"> incorporated</w:t>
      </w:r>
      <w:r w:rsidR="009F163F">
        <w:t>.</w:t>
      </w:r>
    </w:p>
    <w:p w14:paraId="7FB35BBD" w14:textId="77777777" w:rsidR="009D5933" w:rsidRDefault="0043011D" w:rsidP="002B6836">
      <w:pPr>
        <w:pStyle w:val="Heading1"/>
      </w:pPr>
      <w:r>
        <w:t xml:space="preserve">The </w:t>
      </w:r>
      <w:r w:rsidR="009D5933">
        <w:t>new policy explained</w:t>
      </w:r>
    </w:p>
    <w:p w14:paraId="07D5189A" w14:textId="217DB061" w:rsidR="0074707E" w:rsidRDefault="00B01522" w:rsidP="0074707E">
      <w:pPr>
        <w:pStyle w:val="ListParagraph"/>
      </w:pPr>
      <w:r>
        <w:t xml:space="preserve">New employees will progress to the next increment </w:t>
      </w:r>
      <w:r w:rsidR="00112F46">
        <w:t xml:space="preserve">of their grade on successful completion of probationary period, with internal promotions treated in the same way after </w:t>
      </w:r>
      <w:r w:rsidR="00E47092">
        <w:t xml:space="preserve">individuals have </w:t>
      </w:r>
      <w:r w:rsidR="00112F46">
        <w:t xml:space="preserve">successfully </w:t>
      </w:r>
      <w:r w:rsidR="004463AF">
        <w:t>complet</w:t>
      </w:r>
      <w:r w:rsidR="00E47092">
        <w:t>ed</w:t>
      </w:r>
      <w:r w:rsidR="004463AF">
        <w:t xml:space="preserve"> 6 months in the role.</w:t>
      </w:r>
    </w:p>
    <w:p w14:paraId="1C566428" w14:textId="1207C003" w:rsidR="004463AF" w:rsidRDefault="00EE2E9A" w:rsidP="0074707E">
      <w:pPr>
        <w:pStyle w:val="ListParagraph"/>
      </w:pPr>
      <w:r>
        <w:t>The policy confirms the Council’s approach to</w:t>
      </w:r>
      <w:r w:rsidR="004F22CE">
        <w:t xml:space="preserve"> supporting career progression</w:t>
      </w:r>
      <w:r w:rsidR="00DC64BF">
        <w:t xml:space="preserve"> through a formal structure for entry level roles and </w:t>
      </w:r>
      <w:r w:rsidR="00C369F4">
        <w:t>subsequent progression to the grade for the role.</w:t>
      </w:r>
    </w:p>
    <w:p w14:paraId="06D87285" w14:textId="2BE0F212" w:rsidR="00C369F4" w:rsidRDefault="00C369F4" w:rsidP="0074707E">
      <w:pPr>
        <w:pStyle w:val="ListParagraph"/>
      </w:pPr>
      <w:r>
        <w:t xml:space="preserve">The definition of honoraria payments is confirmed as </w:t>
      </w:r>
      <w:r w:rsidR="00E81BC6">
        <w:t xml:space="preserve">compensation for additional duties either as a single payment or payment over </w:t>
      </w:r>
      <w:proofErr w:type="gramStart"/>
      <w:r w:rsidR="00E81BC6">
        <w:t>a number of</w:t>
      </w:r>
      <w:proofErr w:type="gramEnd"/>
      <w:r w:rsidR="00E81BC6">
        <w:t xml:space="preserve"> months.</w:t>
      </w:r>
    </w:p>
    <w:p w14:paraId="51390B46" w14:textId="695D0010" w:rsidR="00E81BC6" w:rsidRDefault="0025790F" w:rsidP="0074707E">
      <w:pPr>
        <w:pStyle w:val="ListParagraph"/>
      </w:pPr>
      <w:r>
        <w:t xml:space="preserve">Acting-up allowances </w:t>
      </w:r>
      <w:r w:rsidR="00131EA4">
        <w:t xml:space="preserve">are defined and </w:t>
      </w:r>
      <w:r>
        <w:t xml:space="preserve">are </w:t>
      </w:r>
      <w:r w:rsidR="00EE4E4E">
        <w:t>offered to employees covering a higher-graded role.</w:t>
      </w:r>
    </w:p>
    <w:p w14:paraId="2829117C" w14:textId="614F0F03" w:rsidR="001526C3" w:rsidRDefault="001526C3" w:rsidP="0074707E">
      <w:pPr>
        <w:pStyle w:val="ListParagraph"/>
      </w:pPr>
      <w:r>
        <w:t xml:space="preserve">By setting out the Council’s approach to pay progression and additional pay, </w:t>
      </w:r>
      <w:r w:rsidR="00807CB9">
        <w:t>we can make sure that all employees are treated fairly.</w:t>
      </w:r>
    </w:p>
    <w:p w14:paraId="600AAA20" w14:textId="203668B7" w:rsidR="00EF3BF2" w:rsidRDefault="00727AEC" w:rsidP="0074707E">
      <w:pPr>
        <w:pStyle w:val="ListParagraph"/>
      </w:pPr>
      <w:r>
        <w:t>In parallel with the launch of the new policy, t</w:t>
      </w:r>
      <w:r w:rsidR="00EF3BF2">
        <w:t xml:space="preserve">he Council will remove the working from home allowance </w:t>
      </w:r>
      <w:r w:rsidR="00117DA8">
        <w:t xml:space="preserve">being paid </w:t>
      </w:r>
      <w:r w:rsidR="003F3F23">
        <w:t xml:space="preserve">as a protected benefit </w:t>
      </w:r>
      <w:r w:rsidR="00117DA8">
        <w:t>to</w:t>
      </w:r>
      <w:r w:rsidR="00EF3BF2">
        <w:t xml:space="preserve"> a small number of employees</w:t>
      </w:r>
      <w:r w:rsidR="00117DA8">
        <w:t xml:space="preserve"> now that hybrid working is established for </w:t>
      </w:r>
      <w:proofErr w:type="gramStart"/>
      <w:r w:rsidR="00117DA8">
        <w:t>the vast majority of</w:t>
      </w:r>
      <w:proofErr w:type="gramEnd"/>
      <w:r w:rsidR="00117DA8">
        <w:t xml:space="preserve"> roles.</w:t>
      </w:r>
      <w:r>
        <w:t xml:space="preserve"> This has been agreed with recognised trade unions.</w:t>
      </w:r>
    </w:p>
    <w:p w14:paraId="7DF459A3" w14:textId="67CBECEF" w:rsidR="00727AEC" w:rsidRPr="0074707E" w:rsidRDefault="00727AEC" w:rsidP="0074707E">
      <w:pPr>
        <w:pStyle w:val="ListParagraph"/>
      </w:pPr>
      <w:r>
        <w:t>The new policy will be implemented on 1 July with backdating agreed back to 1 April 2025</w:t>
      </w:r>
      <w:r w:rsidR="00416CF1">
        <w:t xml:space="preserve"> for employees who have already completed their probationary period successfully</w:t>
      </w:r>
      <w:r>
        <w:t>.</w:t>
      </w:r>
    </w:p>
    <w:p w14:paraId="70635196" w14:textId="298A5F7F" w:rsidR="002312EA" w:rsidRDefault="002312EA" w:rsidP="002B6836">
      <w:pPr>
        <w:pStyle w:val="Heading1"/>
      </w:pPr>
      <w:r>
        <w:t xml:space="preserve">Alternative Options Considered </w:t>
      </w:r>
    </w:p>
    <w:p w14:paraId="53C70147" w14:textId="3FE477C2" w:rsidR="00FD2683" w:rsidRPr="00FD2683" w:rsidRDefault="008E7FC8" w:rsidP="00E75DCF">
      <w:pPr>
        <w:pStyle w:val="bParagraphtext"/>
      </w:pPr>
      <w:r w:rsidRPr="00FD2683">
        <w:rPr>
          <w:rFonts w:cs="Arial"/>
          <w:color w:val="auto"/>
        </w:rPr>
        <w:t>The Council proposed that increments be paid on 1 April each year</w:t>
      </w:r>
      <w:r w:rsidR="00727AEC">
        <w:rPr>
          <w:rFonts w:cs="Arial"/>
          <w:color w:val="auto"/>
        </w:rPr>
        <w:t xml:space="preserve"> as a standard</w:t>
      </w:r>
      <w:r w:rsidRPr="00FD2683">
        <w:rPr>
          <w:rFonts w:cs="Arial"/>
          <w:color w:val="auto"/>
        </w:rPr>
        <w:t xml:space="preserve">. This was considered but </w:t>
      </w:r>
      <w:r w:rsidR="00CC15B1" w:rsidRPr="00FD2683">
        <w:rPr>
          <w:rFonts w:cs="Arial"/>
          <w:color w:val="auto"/>
        </w:rPr>
        <w:t>uni</w:t>
      </w:r>
      <w:r w:rsidR="00526CFD" w:rsidRPr="00FD2683">
        <w:rPr>
          <w:rFonts w:cs="Arial"/>
          <w:color w:val="auto"/>
        </w:rPr>
        <w:t xml:space="preserve">on </w:t>
      </w:r>
      <w:r w:rsidR="00201954" w:rsidRPr="00FD2683">
        <w:rPr>
          <w:rFonts w:cs="Arial"/>
          <w:color w:val="auto"/>
        </w:rPr>
        <w:t xml:space="preserve">representatives </w:t>
      </w:r>
      <w:r w:rsidR="00CC15B1" w:rsidRPr="00FD2683">
        <w:rPr>
          <w:rFonts w:cs="Arial"/>
          <w:color w:val="auto"/>
        </w:rPr>
        <w:t>preferred incremental progression linked to successful completion of probationary period</w:t>
      </w:r>
      <w:r w:rsidR="00727AEC">
        <w:rPr>
          <w:rFonts w:cs="Arial"/>
          <w:color w:val="auto"/>
        </w:rPr>
        <w:t>, and so a link with performance</w:t>
      </w:r>
      <w:r w:rsidR="000E7E39" w:rsidRPr="00FD2683">
        <w:rPr>
          <w:rFonts w:cs="Arial"/>
          <w:color w:val="auto"/>
        </w:rPr>
        <w:t xml:space="preserve">. This provides greater consistency </w:t>
      </w:r>
      <w:r w:rsidR="00FD2683" w:rsidRPr="00FD2683">
        <w:rPr>
          <w:rFonts w:cs="Arial"/>
          <w:color w:val="auto"/>
        </w:rPr>
        <w:t>as e</w:t>
      </w:r>
      <w:r w:rsidR="00BB4426" w:rsidRPr="00FD2683">
        <w:rPr>
          <w:rFonts w:cs="Arial"/>
          <w:color w:val="auto"/>
        </w:rPr>
        <w:t>mployees would wait different periods of time</w:t>
      </w:r>
      <w:r w:rsidR="00727AEC">
        <w:rPr>
          <w:rFonts w:cs="Arial"/>
          <w:color w:val="auto"/>
        </w:rPr>
        <w:t xml:space="preserve"> (from 1 to 12 months)</w:t>
      </w:r>
      <w:r w:rsidR="00BB4426" w:rsidRPr="00FD2683">
        <w:rPr>
          <w:rFonts w:cs="Arial"/>
          <w:color w:val="auto"/>
        </w:rPr>
        <w:t xml:space="preserve"> </w:t>
      </w:r>
      <w:r w:rsidR="00727AEC">
        <w:rPr>
          <w:rFonts w:cs="Arial"/>
          <w:color w:val="auto"/>
        </w:rPr>
        <w:t>if</w:t>
      </w:r>
      <w:r w:rsidR="00FD2683" w:rsidRPr="00FD2683">
        <w:rPr>
          <w:rFonts w:cs="Arial"/>
          <w:color w:val="auto"/>
        </w:rPr>
        <w:t xml:space="preserve"> increments were awarded at a single point in time</w:t>
      </w:r>
      <w:r w:rsidR="00727AEC">
        <w:rPr>
          <w:rFonts w:cs="Arial"/>
          <w:color w:val="auto"/>
        </w:rPr>
        <w:t xml:space="preserve"> such as 1 April each year</w:t>
      </w:r>
      <w:r w:rsidR="00FD2683" w:rsidRPr="00FD2683">
        <w:rPr>
          <w:rFonts w:cs="Arial"/>
          <w:color w:val="auto"/>
        </w:rPr>
        <w:t>.</w:t>
      </w:r>
    </w:p>
    <w:p w14:paraId="01589894" w14:textId="6A9E3E40" w:rsidR="00E87F7A" w:rsidRPr="00FD2683" w:rsidRDefault="00B024B2" w:rsidP="00FD2683">
      <w:pPr>
        <w:pStyle w:val="bParagraphtext"/>
        <w:numPr>
          <w:ilvl w:val="0"/>
          <w:numId w:val="0"/>
        </w:numPr>
        <w:rPr>
          <w:b/>
          <w:bCs/>
        </w:rPr>
      </w:pPr>
      <w:r w:rsidRPr="00FD2683">
        <w:rPr>
          <w:b/>
          <w:bCs/>
        </w:rPr>
        <w:t>C</w:t>
      </w:r>
      <w:r w:rsidR="00E87F7A" w:rsidRPr="00FD2683">
        <w:rPr>
          <w:b/>
          <w:bCs/>
        </w:rPr>
        <w:t xml:space="preserve">onsultation and communications </w:t>
      </w:r>
    </w:p>
    <w:p w14:paraId="3A981749" w14:textId="025FC438" w:rsidR="0025611B" w:rsidRDefault="00DF2910" w:rsidP="00B024B2">
      <w:pPr>
        <w:pStyle w:val="ListParagraph"/>
      </w:pPr>
      <w:r>
        <w:t>Regular meetings have taken place with trade union representatives from Unison and Unite</w:t>
      </w:r>
      <w:r w:rsidR="00CB6BA5">
        <w:t xml:space="preserve"> </w:t>
      </w:r>
      <w:r w:rsidR="00996A07">
        <w:t>over</w:t>
      </w:r>
      <w:r w:rsidR="00CB6BA5">
        <w:t xml:space="preserve"> the last 12 months</w:t>
      </w:r>
      <w:r w:rsidR="0025611B">
        <w:t xml:space="preserve">. Feedback has </w:t>
      </w:r>
      <w:r w:rsidR="00D30522">
        <w:t>been</w:t>
      </w:r>
      <w:r w:rsidR="0025611B">
        <w:t xml:space="preserve"> taken on board</w:t>
      </w:r>
      <w:r w:rsidR="00EF3BF2">
        <w:t>.</w:t>
      </w:r>
      <w:r w:rsidR="0025611B">
        <w:t xml:space="preserve"> </w:t>
      </w:r>
    </w:p>
    <w:p w14:paraId="4795ECA1" w14:textId="54DC2A57" w:rsidR="006C08CB" w:rsidRDefault="006C08CB" w:rsidP="006C08CB">
      <w:pPr>
        <w:pStyle w:val="ListParagraph"/>
      </w:pPr>
      <w:r>
        <w:t>Employees affected by the propos</w:t>
      </w:r>
      <w:r w:rsidR="008423B3">
        <w:t>al</w:t>
      </w:r>
      <w:r>
        <w:t xml:space="preserve"> </w:t>
      </w:r>
      <w:r w:rsidR="008423B3">
        <w:t xml:space="preserve">to remove working from </w:t>
      </w:r>
      <w:r w:rsidR="00F27837">
        <w:t xml:space="preserve">home </w:t>
      </w:r>
      <w:r w:rsidR="008423B3">
        <w:t xml:space="preserve">allowances </w:t>
      </w:r>
      <w:r>
        <w:t xml:space="preserve">will receive information </w:t>
      </w:r>
      <w:r w:rsidR="008122DB">
        <w:t xml:space="preserve">on the change to pay </w:t>
      </w:r>
      <w:r>
        <w:t xml:space="preserve">and </w:t>
      </w:r>
      <w:r w:rsidR="008122DB">
        <w:t xml:space="preserve">offered a </w:t>
      </w:r>
      <w:r>
        <w:t>consult</w:t>
      </w:r>
      <w:r w:rsidR="00EB222C">
        <w:t>ation meeting</w:t>
      </w:r>
      <w:r w:rsidR="00B024B2">
        <w:t xml:space="preserve"> if the policy is agreed by Council. </w:t>
      </w:r>
    </w:p>
    <w:p w14:paraId="3789EF35" w14:textId="77777777" w:rsidR="00193775" w:rsidRPr="001356F1" w:rsidRDefault="00193775" w:rsidP="00193775"/>
    <w:p w14:paraId="11308776" w14:textId="77777777" w:rsidR="0040736F" w:rsidRPr="002B6836" w:rsidRDefault="002329CF" w:rsidP="002B6836">
      <w:pPr>
        <w:pStyle w:val="Heading1"/>
      </w:pPr>
      <w:r w:rsidRPr="00824B01">
        <w:t>Financial implications</w:t>
      </w:r>
    </w:p>
    <w:p w14:paraId="0DC981BA" w14:textId="12D3FCFB" w:rsidR="00E87F7A" w:rsidRPr="001356F1" w:rsidRDefault="00E87F7A" w:rsidP="005570B5">
      <w:pPr>
        <w:pStyle w:val="ListParagraph"/>
      </w:pPr>
      <w:r w:rsidRPr="292FE417">
        <w:rPr>
          <w:rStyle w:val="bParagraphtextChar"/>
        </w:rPr>
        <w:lastRenderedPageBreak/>
        <w:t>Th</w:t>
      </w:r>
      <w:r w:rsidR="00C668E1" w:rsidRPr="292FE417">
        <w:rPr>
          <w:rStyle w:val="bParagraphtextChar"/>
        </w:rPr>
        <w:t>e</w:t>
      </w:r>
      <w:r w:rsidR="00727AEC">
        <w:rPr>
          <w:rStyle w:val="bParagraphtextChar"/>
        </w:rPr>
        <w:t xml:space="preserve"> cost impact of implementing the policy on 1 July 2025 will be £</w:t>
      </w:r>
      <w:r w:rsidR="00A67DC8">
        <w:rPr>
          <w:rStyle w:val="bParagraphtextChar"/>
        </w:rPr>
        <w:t xml:space="preserve">49,520 for the </w:t>
      </w:r>
      <w:r w:rsidR="00727AEC">
        <w:rPr>
          <w:rStyle w:val="bParagraphtextChar"/>
        </w:rPr>
        <w:t xml:space="preserve">back pay </w:t>
      </w:r>
      <w:r w:rsidR="00193775">
        <w:rPr>
          <w:rStyle w:val="bParagraphtextChar"/>
        </w:rPr>
        <w:t xml:space="preserve">from 1 April 2025 to 30 June 2025 </w:t>
      </w:r>
      <w:r w:rsidR="00727AEC">
        <w:rPr>
          <w:rStyle w:val="bParagraphtextChar"/>
        </w:rPr>
        <w:t>for those who have already successfully completed their probationary period.</w:t>
      </w:r>
    </w:p>
    <w:p w14:paraId="06827778" w14:textId="77777777" w:rsidR="0040736F" w:rsidRPr="001356F1" w:rsidRDefault="00DA614B" w:rsidP="004A6D2F">
      <w:pPr>
        <w:pStyle w:val="Heading1"/>
      </w:pPr>
      <w:r w:rsidRPr="001356F1">
        <w:t>Legal issues</w:t>
      </w:r>
    </w:p>
    <w:p w14:paraId="562DE13A" w14:textId="6FC63618" w:rsidR="00E87F7A" w:rsidRPr="001356F1" w:rsidRDefault="00E87F7A" w:rsidP="005C1A47">
      <w:pPr>
        <w:pStyle w:val="ListParagraph"/>
      </w:pPr>
      <w:r>
        <w:t>Th</w:t>
      </w:r>
      <w:r w:rsidR="00117EB9">
        <w:t>e</w:t>
      </w:r>
      <w:r w:rsidR="003B1A81">
        <w:t xml:space="preserve"> introduction of </w:t>
      </w:r>
      <w:r w:rsidR="00D27F97">
        <w:t xml:space="preserve">the new pay policy </w:t>
      </w:r>
      <w:r w:rsidR="00D878E6">
        <w:t>will ensure that</w:t>
      </w:r>
      <w:r w:rsidR="00117EB9">
        <w:t xml:space="preserve"> decisions on pay </w:t>
      </w:r>
      <w:r w:rsidR="001347B9">
        <w:t xml:space="preserve">are in line with a standard </w:t>
      </w:r>
      <w:r w:rsidR="00C67BB0">
        <w:t>approach and so are fair</w:t>
      </w:r>
      <w:r w:rsidR="00D6303F">
        <w:t xml:space="preserve"> and legally compliant.</w:t>
      </w:r>
    </w:p>
    <w:p w14:paraId="39265579" w14:textId="77777777" w:rsidR="002329CF" w:rsidRPr="001356F1" w:rsidRDefault="002329CF" w:rsidP="004A6D2F">
      <w:pPr>
        <w:pStyle w:val="Heading1"/>
      </w:pPr>
      <w:r w:rsidRPr="0068340C">
        <w:t>Level of risk</w:t>
      </w:r>
    </w:p>
    <w:p w14:paraId="0EA9CFE9" w14:textId="4EF7CD41" w:rsidR="00BC69A4" w:rsidRPr="000750E3" w:rsidRDefault="000750E3" w:rsidP="002B6836">
      <w:pPr>
        <w:pStyle w:val="bParagraphtext"/>
      </w:pPr>
      <w:r>
        <w:t xml:space="preserve">The </w:t>
      </w:r>
      <w:r w:rsidR="00646139">
        <w:t>R</w:t>
      </w:r>
      <w:r w:rsidR="002329CF" w:rsidRPr="000750E3">
        <w:t xml:space="preserve">isk </w:t>
      </w:r>
      <w:r w:rsidR="00151888" w:rsidRPr="000750E3">
        <w:t>R</w:t>
      </w:r>
      <w:r w:rsidR="0093067A" w:rsidRPr="000750E3">
        <w:t>egister</w:t>
      </w:r>
      <w:r w:rsidR="00E457FB">
        <w:t xml:space="preserve">, Appendix 2, </w:t>
      </w:r>
      <w:r w:rsidR="00646139">
        <w:t>is attached</w:t>
      </w:r>
      <w:r w:rsidR="00387DA3">
        <w:t xml:space="preserve"> as a separate document. The risks </w:t>
      </w:r>
      <w:r w:rsidR="006656BF">
        <w:t xml:space="preserve">identified are </w:t>
      </w:r>
      <w:r w:rsidR="00387DA3">
        <w:t>concern</w:t>
      </w:r>
      <w:r w:rsidR="006656BF">
        <w:t>ed with</w:t>
      </w:r>
      <w:r w:rsidR="00387DA3">
        <w:t xml:space="preserve"> the Council’s inability to deliver </w:t>
      </w:r>
      <w:r w:rsidR="000B1E31">
        <w:t>services</w:t>
      </w:r>
      <w:r w:rsidR="00B92B7E">
        <w:t xml:space="preserve"> if we are una</w:t>
      </w:r>
      <w:r w:rsidR="00165ECA">
        <w:t>ble to attract and retain talented people</w:t>
      </w:r>
      <w:r w:rsidR="006656BF">
        <w:t>.</w:t>
      </w:r>
    </w:p>
    <w:p w14:paraId="2399E607" w14:textId="77777777" w:rsidR="002329CF" w:rsidRPr="001356F1" w:rsidRDefault="002329CF" w:rsidP="0050321C">
      <w:pPr>
        <w:pStyle w:val="Heading1"/>
      </w:pPr>
      <w:r w:rsidRPr="00727AEC">
        <w:t>Equalities impact</w:t>
      </w:r>
      <w:r w:rsidRPr="001356F1">
        <w:t xml:space="preserve"> </w:t>
      </w:r>
    </w:p>
    <w:p w14:paraId="621A5FDA" w14:textId="5368413D" w:rsidR="00FB3B71" w:rsidRDefault="0093067A" w:rsidP="002312EA">
      <w:pPr>
        <w:pStyle w:val="ListParagraph"/>
      </w:pPr>
      <w:bookmarkStart w:id="1" w:name="_Hlk184712181"/>
      <w:r>
        <w:t>A</w:t>
      </w:r>
      <w:r w:rsidR="00E70167">
        <w:t xml:space="preserve">n equalities impact assessment is </w:t>
      </w:r>
      <w:r w:rsidR="00DF0888">
        <w:t xml:space="preserve">included </w:t>
      </w:r>
      <w:r w:rsidR="00727AEC">
        <w:t>as</w:t>
      </w:r>
      <w:r w:rsidR="00DF0888">
        <w:t xml:space="preserve"> Appendix </w:t>
      </w:r>
      <w:r w:rsidR="00B25570">
        <w:t>3</w:t>
      </w:r>
      <w:r w:rsidR="00DF0888">
        <w:t xml:space="preserve">. The assessment </w:t>
      </w:r>
      <w:r w:rsidR="0013798E">
        <w:t>includes</w:t>
      </w:r>
      <w:r w:rsidR="00DF0888">
        <w:t xml:space="preserve"> the impact for </w:t>
      </w:r>
      <w:r w:rsidR="00397AE6">
        <w:t xml:space="preserve">the protected characteristics of race; sex; age and disability. </w:t>
      </w:r>
      <w:r w:rsidR="0013798E">
        <w:t xml:space="preserve">As the Council is introducing a </w:t>
      </w:r>
      <w:r w:rsidR="0064325E">
        <w:t xml:space="preserve">consistent approach for all employees, there is no adverse impact for any </w:t>
      </w:r>
      <w:r w:rsidR="00223DCF">
        <w:t xml:space="preserve">individual </w:t>
      </w:r>
      <w:proofErr w:type="gramStart"/>
      <w:r w:rsidR="0064325E">
        <w:t>group</w:t>
      </w:r>
      <w:proofErr w:type="gramEnd"/>
      <w:r w:rsidR="0064325E">
        <w:t xml:space="preserve"> but this will be monitored. </w:t>
      </w:r>
      <w:r w:rsidR="00397AE6">
        <w:t xml:space="preserve">It </w:t>
      </w:r>
      <w:r w:rsidR="002E3572">
        <w:t>is important</w:t>
      </w:r>
      <w:r w:rsidR="00397AE6">
        <w:t xml:space="preserve"> to </w:t>
      </w:r>
      <w:r w:rsidR="00951CD5">
        <w:t xml:space="preserve">make sure that decisions on pay </w:t>
      </w:r>
      <w:r w:rsidR="00ED7FCE">
        <w:t xml:space="preserve">continue in line with the proposed policy and </w:t>
      </w:r>
      <w:r w:rsidR="00951CD5">
        <w:t>are evidence</w:t>
      </w:r>
      <w:r w:rsidR="00727AEC">
        <w:t xml:space="preserve"> </w:t>
      </w:r>
      <w:r w:rsidR="00951CD5">
        <w:t>based and free from bias.</w:t>
      </w:r>
      <w:r w:rsidR="0013798E">
        <w:t xml:space="preserve"> </w:t>
      </w:r>
    </w:p>
    <w:bookmarkEnd w:id="0"/>
    <w:p w14:paraId="36610569" w14:textId="77777777" w:rsidR="00AE557C" w:rsidRDefault="00AE557C" w:rsidP="00AE557C">
      <w:pPr>
        <w:pStyle w:val="ListParagraph"/>
        <w:numPr>
          <w:ilvl w:val="0"/>
          <w:numId w:val="0"/>
        </w:numPr>
        <w:ind w:left="426"/>
      </w:pPr>
    </w:p>
    <w:bookmarkEnd w:id="1"/>
    <w:p w14:paraId="3384B174" w14:textId="77777777" w:rsidR="002329CF" w:rsidRPr="001356F1" w:rsidRDefault="002329CF" w:rsidP="004A6D2F"/>
    <w:tbl>
      <w:tblPr>
        <w:tblW w:w="0" w:type="auto"/>
        <w:tblInd w:w="108" w:type="dxa"/>
        <w:tbl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blBorders>
        <w:tblLook w:val="04A0" w:firstRow="1" w:lastRow="0" w:firstColumn="1" w:lastColumn="0" w:noHBand="0" w:noVBand="1"/>
      </w:tblPr>
      <w:tblGrid>
        <w:gridCol w:w="3969"/>
        <w:gridCol w:w="4962"/>
      </w:tblGrid>
      <w:tr w:rsidR="00DF093E" w:rsidRPr="001356F1" w14:paraId="0FA94296" w14:textId="77777777" w:rsidTr="00A46E98">
        <w:trPr>
          <w:cantSplit/>
          <w:trHeight w:val="39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4987E45" w14:textId="77777777" w:rsidR="00E87F7A" w:rsidRPr="001356F1" w:rsidRDefault="00E87F7A" w:rsidP="00A46E98">
            <w:pPr>
              <w:rPr>
                <w:b/>
              </w:rPr>
            </w:pPr>
            <w:r w:rsidRPr="001356F1">
              <w:rPr>
                <w:b/>
              </w:rPr>
              <w:t>Report author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30C959" w14:textId="6848F45D" w:rsidR="00E87F7A" w:rsidRPr="001356F1" w:rsidRDefault="00352ABF" w:rsidP="00A46E98">
            <w:r>
              <w:t>Gail Malkin</w:t>
            </w:r>
          </w:p>
        </w:tc>
      </w:tr>
      <w:tr w:rsidR="00DF093E" w:rsidRPr="001356F1" w14:paraId="07A5B9C2" w14:textId="77777777" w:rsidTr="00A46E98">
        <w:trPr>
          <w:cantSplit/>
          <w:trHeight w:val="396"/>
        </w:trPr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6B6C3381" w14:textId="77777777" w:rsidR="00E87F7A" w:rsidRPr="001356F1" w:rsidRDefault="00E87F7A" w:rsidP="00A46E98">
            <w:r w:rsidRPr="001356F1">
              <w:t>Job title</w:t>
            </w:r>
          </w:p>
        </w:tc>
        <w:tc>
          <w:tcPr>
            <w:tcW w:w="496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3100D2DA" w14:textId="3F053C63" w:rsidR="00E87F7A" w:rsidRPr="001356F1" w:rsidRDefault="00352ABF" w:rsidP="00A46E98">
            <w:r>
              <w:t>Head of People</w:t>
            </w:r>
          </w:p>
        </w:tc>
      </w:tr>
      <w:tr w:rsidR="00DF093E" w:rsidRPr="001356F1" w14:paraId="6DEB5543" w14:textId="77777777" w:rsidTr="00A46E98">
        <w:trPr>
          <w:cantSplit/>
          <w:trHeight w:val="396"/>
        </w:trPr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7BD402AB" w14:textId="77777777" w:rsidR="00E87F7A" w:rsidRPr="001356F1" w:rsidRDefault="00E87F7A" w:rsidP="00A46E98">
            <w:r w:rsidRPr="001356F1">
              <w:t>Service area or department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F7746FF" w14:textId="66FDABB4" w:rsidR="00E87F7A" w:rsidRPr="001356F1" w:rsidRDefault="00352ABF" w:rsidP="00A46E98">
            <w:r>
              <w:t>People Services</w:t>
            </w:r>
          </w:p>
        </w:tc>
      </w:tr>
      <w:tr w:rsidR="00DF093E" w:rsidRPr="001356F1" w14:paraId="572FB489" w14:textId="77777777" w:rsidTr="00A46E98">
        <w:trPr>
          <w:cantSplit/>
          <w:trHeight w:val="396"/>
        </w:trPr>
        <w:tc>
          <w:tcPr>
            <w:tcW w:w="396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7832E71E" w14:textId="77777777" w:rsidR="00E87F7A" w:rsidRPr="001356F1" w:rsidRDefault="00E87F7A" w:rsidP="00A46E98">
            <w:r w:rsidRPr="001356F1">
              <w:t xml:space="preserve">Telephone 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53D96CCC" w14:textId="3129723E" w:rsidR="00E87F7A" w:rsidRPr="001356F1" w:rsidRDefault="00E87F7A" w:rsidP="00A46E98">
            <w:r w:rsidRPr="001356F1">
              <w:t xml:space="preserve">01865 </w:t>
            </w:r>
            <w:r w:rsidR="000628BA" w:rsidRPr="000628BA">
              <w:t>252689</w:t>
            </w:r>
            <w:r w:rsidRPr="001356F1">
              <w:t xml:space="preserve">  </w:t>
            </w:r>
          </w:p>
        </w:tc>
      </w:tr>
      <w:tr w:rsidR="005570B5" w:rsidRPr="001356F1" w14:paraId="40AEFD69" w14:textId="77777777" w:rsidTr="00A46E98">
        <w:trPr>
          <w:cantSplit/>
          <w:trHeight w:val="396"/>
        </w:trPr>
        <w:tc>
          <w:tcPr>
            <w:tcW w:w="39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C2DD139" w14:textId="77777777" w:rsidR="00E87F7A" w:rsidRPr="001356F1" w:rsidRDefault="00E87F7A" w:rsidP="00A46E98">
            <w:r w:rsidRPr="001356F1">
              <w:t xml:space="preserve">e-mail 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C04F4C" w14:textId="7F2ECE2B" w:rsidR="00E87F7A" w:rsidRPr="001356F1" w:rsidRDefault="00352ABF" w:rsidP="00A46E98">
            <w:pPr>
              <w:rPr>
                <w:rStyle w:val="Hyperlink"/>
                <w:color w:val="000000"/>
              </w:rPr>
            </w:pPr>
            <w:r>
              <w:rPr>
                <w:rStyle w:val="Hyperlink"/>
                <w:color w:val="000000"/>
              </w:rPr>
              <w:t>gmalkin@oxford.gov</w:t>
            </w:r>
            <w:r w:rsidR="00062F12">
              <w:rPr>
                <w:rStyle w:val="Hyperlink"/>
                <w:color w:val="000000"/>
              </w:rPr>
              <w:t>.uk</w:t>
            </w:r>
          </w:p>
        </w:tc>
      </w:tr>
    </w:tbl>
    <w:p w14:paraId="1FE671BD" w14:textId="77777777" w:rsidR="004456DD" w:rsidRPr="009E51FC" w:rsidRDefault="004456DD" w:rsidP="0093067A"/>
    <w:sectPr w:rsidR="004456DD" w:rsidRPr="009E51FC" w:rsidSect="002B6836">
      <w:footerReference w:type="even" r:id="rId11"/>
      <w:headerReference w:type="first" r:id="rId12"/>
      <w:pgSz w:w="11906" w:h="16838" w:code="9"/>
      <w:pgMar w:top="1418" w:right="1304" w:bottom="1304" w:left="1304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2343" w14:textId="77777777" w:rsidR="008A6F75" w:rsidRDefault="008A6F75" w:rsidP="004A6D2F">
      <w:r>
        <w:separator/>
      </w:r>
    </w:p>
  </w:endnote>
  <w:endnote w:type="continuationSeparator" w:id="0">
    <w:p w14:paraId="5B2A46CA" w14:textId="77777777" w:rsidR="008A6F75" w:rsidRDefault="008A6F75" w:rsidP="004A6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7B8B" w14:textId="77777777" w:rsidR="00364FAD" w:rsidRDefault="00364FAD" w:rsidP="004A6D2F">
    <w:pPr>
      <w:pStyle w:val="Footer"/>
    </w:pPr>
    <w:r>
      <w:t>Do not use a footer or page numbers.</w:t>
    </w:r>
  </w:p>
  <w:p w14:paraId="20B2461C" w14:textId="77777777" w:rsidR="00364FAD" w:rsidRDefault="00364FAD" w:rsidP="004A6D2F">
    <w:pPr>
      <w:pStyle w:val="Footer"/>
    </w:pPr>
  </w:p>
  <w:p w14:paraId="72386601" w14:textId="77777777" w:rsidR="00364FAD" w:rsidRDefault="00364FAD" w:rsidP="004A6D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1527" w14:textId="77777777" w:rsidR="008A6F75" w:rsidRDefault="008A6F75" w:rsidP="004A6D2F">
      <w:r>
        <w:separator/>
      </w:r>
    </w:p>
  </w:footnote>
  <w:footnote w:type="continuationSeparator" w:id="0">
    <w:p w14:paraId="059572ED" w14:textId="77777777" w:rsidR="008A6F75" w:rsidRDefault="008A6F75" w:rsidP="004A6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1F7F" w14:textId="77777777" w:rsidR="00D5547E" w:rsidRDefault="00C05260" w:rsidP="00D5547E">
    <w:pPr>
      <w:pStyle w:val="Header"/>
      <w:jc w:val="right"/>
    </w:pPr>
    <w:r>
      <w:rPr>
        <w:noProof/>
      </w:rPr>
      <w:drawing>
        <wp:inline distT="0" distB="0" distL="0" distR="0" wp14:anchorId="35341002" wp14:editId="2956E09D">
          <wp:extent cx="838200" cy="1119505"/>
          <wp:effectExtent l="0" t="0" r="0" b="4445"/>
          <wp:docPr id="1" name="Picture 1" title="Oxford Ci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cc_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11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DEC5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70EF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B46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90A3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347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060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C253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CAEA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881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E43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C30BB"/>
    <w:multiLevelType w:val="multilevel"/>
    <w:tmpl w:val="E67CE66C"/>
    <w:styleLink w:val="StyleNumberedLeft0cmHanging075cm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CF5C54"/>
    <w:multiLevelType w:val="multilevel"/>
    <w:tmpl w:val="43D6D2FA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9C05EF"/>
    <w:multiLevelType w:val="multilevel"/>
    <w:tmpl w:val="43D6D2FA"/>
    <w:numStyleLink w:val="StyleBulletedSymbolsymbolLeft063cmHanging063cm"/>
  </w:abstractNum>
  <w:abstractNum w:abstractNumId="13" w15:restartNumberingAfterBreak="0">
    <w:nsid w:val="092922A7"/>
    <w:multiLevelType w:val="hybridMultilevel"/>
    <w:tmpl w:val="2B26D4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702313"/>
    <w:multiLevelType w:val="hybridMultilevel"/>
    <w:tmpl w:val="7BA0422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0A731236"/>
    <w:multiLevelType w:val="multilevel"/>
    <w:tmpl w:val="1700ACF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E3CBC"/>
    <w:multiLevelType w:val="hybridMultilevel"/>
    <w:tmpl w:val="8BD02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980FC5"/>
    <w:multiLevelType w:val="hybridMultilevel"/>
    <w:tmpl w:val="5B36B17E"/>
    <w:lvl w:ilvl="0" w:tplc="AFA25F0A">
      <w:start w:val="1"/>
      <w:numFmt w:val="bullet"/>
      <w:pStyle w:val="Bulletpoin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2263A6A"/>
    <w:multiLevelType w:val="multilevel"/>
    <w:tmpl w:val="43D6D2FA"/>
    <w:numStyleLink w:val="StyleBulletedSymbolsymbolLeft063cmHanging063cm"/>
  </w:abstractNum>
  <w:abstractNum w:abstractNumId="19" w15:restartNumberingAfterBreak="0">
    <w:nsid w:val="2C0A3AC3"/>
    <w:multiLevelType w:val="hybridMultilevel"/>
    <w:tmpl w:val="2B326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3586B"/>
    <w:multiLevelType w:val="hybridMultilevel"/>
    <w:tmpl w:val="88CA416C"/>
    <w:lvl w:ilvl="0" w:tplc="0DDAB9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0B4923"/>
    <w:multiLevelType w:val="hybridMultilevel"/>
    <w:tmpl w:val="2D883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43E22"/>
    <w:multiLevelType w:val="hybridMultilevel"/>
    <w:tmpl w:val="3E3ABABA"/>
    <w:lvl w:ilvl="0" w:tplc="081A0C3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027960"/>
    <w:multiLevelType w:val="hybridMultilevel"/>
    <w:tmpl w:val="501CC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F1004"/>
    <w:multiLevelType w:val="hybridMultilevel"/>
    <w:tmpl w:val="4E022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2530E"/>
    <w:multiLevelType w:val="hybridMultilevel"/>
    <w:tmpl w:val="CEECF3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764EAF"/>
    <w:multiLevelType w:val="hybridMultilevel"/>
    <w:tmpl w:val="AB625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E2E32"/>
    <w:multiLevelType w:val="hybridMultilevel"/>
    <w:tmpl w:val="CB3E890E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4D8F2C59"/>
    <w:multiLevelType w:val="hybridMultilevel"/>
    <w:tmpl w:val="396C5B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565907"/>
    <w:multiLevelType w:val="hybridMultilevel"/>
    <w:tmpl w:val="55949A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BA5FD8"/>
    <w:multiLevelType w:val="multilevel"/>
    <w:tmpl w:val="43D6D2FA"/>
    <w:numStyleLink w:val="StyleBulletedSymbolsymbolLeft063cmHanging063cm"/>
  </w:abstractNum>
  <w:abstractNum w:abstractNumId="31" w15:restartNumberingAfterBreak="0">
    <w:nsid w:val="5C7E19E2"/>
    <w:multiLevelType w:val="hybridMultilevel"/>
    <w:tmpl w:val="3146A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22831"/>
    <w:multiLevelType w:val="multilevel"/>
    <w:tmpl w:val="43D6D2FA"/>
    <w:numStyleLink w:val="StyleBulletedSymbolsymbolLeft063cmHanging063cm"/>
  </w:abstractNum>
  <w:abstractNum w:abstractNumId="33" w15:restartNumberingAfterBreak="0">
    <w:nsid w:val="63EF211B"/>
    <w:multiLevelType w:val="hybridMultilevel"/>
    <w:tmpl w:val="72AE21C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A9F2B3C"/>
    <w:multiLevelType w:val="multilevel"/>
    <w:tmpl w:val="4C5820D8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550E4"/>
    <w:multiLevelType w:val="hybridMultilevel"/>
    <w:tmpl w:val="DD86F5E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539BA"/>
    <w:multiLevelType w:val="hybridMultilevel"/>
    <w:tmpl w:val="C1CC3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16223"/>
    <w:multiLevelType w:val="hybridMultilevel"/>
    <w:tmpl w:val="E67CE6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357BAF"/>
    <w:multiLevelType w:val="hybridMultilevel"/>
    <w:tmpl w:val="7F52CCF6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98365C6"/>
    <w:multiLevelType w:val="multilevel"/>
    <w:tmpl w:val="E67CE66C"/>
    <w:numStyleLink w:val="StyleNumberedLeft0cmHanging075cm"/>
  </w:abstractNum>
  <w:num w:numId="1" w16cid:durableId="2036299310">
    <w:abstractNumId w:val="29"/>
  </w:num>
  <w:num w:numId="2" w16cid:durableId="643705505">
    <w:abstractNumId w:val="35"/>
  </w:num>
  <w:num w:numId="3" w16cid:durableId="1284848424">
    <w:abstractNumId w:val="25"/>
  </w:num>
  <w:num w:numId="4" w16cid:durableId="578908713">
    <w:abstractNumId w:val="19"/>
  </w:num>
  <w:num w:numId="5" w16cid:durableId="54470100">
    <w:abstractNumId w:val="31"/>
  </w:num>
  <w:num w:numId="6" w16cid:durableId="694158268">
    <w:abstractNumId w:val="37"/>
  </w:num>
  <w:num w:numId="7" w16cid:durableId="647516062">
    <w:abstractNumId w:val="24"/>
  </w:num>
  <w:num w:numId="8" w16cid:durableId="1160539719">
    <w:abstractNumId w:val="21"/>
  </w:num>
  <w:num w:numId="9" w16cid:durableId="1862670074">
    <w:abstractNumId w:val="13"/>
  </w:num>
  <w:num w:numId="10" w16cid:durableId="948585193">
    <w:abstractNumId w:val="16"/>
  </w:num>
  <w:num w:numId="11" w16cid:durableId="718482766">
    <w:abstractNumId w:val="28"/>
  </w:num>
  <w:num w:numId="12" w16cid:durableId="164051272">
    <w:abstractNumId w:val="26"/>
  </w:num>
  <w:num w:numId="13" w16cid:durableId="1450854030">
    <w:abstractNumId w:val="10"/>
  </w:num>
  <w:num w:numId="14" w16cid:durableId="373359476">
    <w:abstractNumId w:val="39"/>
  </w:num>
  <w:num w:numId="15" w16cid:durableId="1009412161">
    <w:abstractNumId w:val="17"/>
  </w:num>
  <w:num w:numId="16" w16cid:durableId="2041280933">
    <w:abstractNumId w:val="11"/>
  </w:num>
  <w:num w:numId="17" w16cid:durableId="471220593">
    <w:abstractNumId w:val="30"/>
  </w:num>
  <w:num w:numId="18" w16cid:durableId="1031035851">
    <w:abstractNumId w:val="12"/>
  </w:num>
  <w:num w:numId="19" w16cid:durableId="1402945545">
    <w:abstractNumId w:val="32"/>
  </w:num>
  <w:num w:numId="20" w16cid:durableId="1667248783">
    <w:abstractNumId w:val="18"/>
  </w:num>
  <w:num w:numId="21" w16cid:durableId="1353453069">
    <w:abstractNumId w:val="22"/>
  </w:num>
  <w:num w:numId="22" w16cid:durableId="592667723">
    <w:abstractNumId w:val="15"/>
  </w:num>
  <w:num w:numId="23" w16cid:durableId="37707020">
    <w:abstractNumId w:val="34"/>
  </w:num>
  <w:num w:numId="24" w16cid:durableId="162087179">
    <w:abstractNumId w:val="9"/>
  </w:num>
  <w:num w:numId="25" w16cid:durableId="1955359617">
    <w:abstractNumId w:val="8"/>
  </w:num>
  <w:num w:numId="26" w16cid:durableId="2025740696">
    <w:abstractNumId w:val="7"/>
  </w:num>
  <w:num w:numId="27" w16cid:durableId="439375354">
    <w:abstractNumId w:val="6"/>
  </w:num>
  <w:num w:numId="28" w16cid:durableId="2034837902">
    <w:abstractNumId w:val="5"/>
  </w:num>
  <w:num w:numId="29" w16cid:durableId="765544091">
    <w:abstractNumId w:val="4"/>
  </w:num>
  <w:num w:numId="30" w16cid:durableId="1249462447">
    <w:abstractNumId w:val="3"/>
  </w:num>
  <w:num w:numId="31" w16cid:durableId="790055611">
    <w:abstractNumId w:val="2"/>
  </w:num>
  <w:num w:numId="32" w16cid:durableId="913585048">
    <w:abstractNumId w:val="1"/>
  </w:num>
  <w:num w:numId="33" w16cid:durableId="1728189480">
    <w:abstractNumId w:val="0"/>
  </w:num>
  <w:num w:numId="34" w16cid:durableId="1370304610">
    <w:abstractNumId w:val="36"/>
  </w:num>
  <w:num w:numId="35" w16cid:durableId="1152941978">
    <w:abstractNumId w:val="20"/>
  </w:num>
  <w:num w:numId="36" w16cid:durableId="2006741231">
    <w:abstractNumId w:val="23"/>
  </w:num>
  <w:num w:numId="37" w16cid:durableId="225072109">
    <w:abstractNumId w:val="38"/>
  </w:num>
  <w:num w:numId="38" w16cid:durableId="676271415">
    <w:abstractNumId w:val="27"/>
  </w:num>
  <w:num w:numId="39" w16cid:durableId="235746284">
    <w:abstractNumId w:val="14"/>
  </w:num>
  <w:num w:numId="40" w16cid:durableId="200285654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B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B71"/>
    <w:rsid w:val="00001743"/>
    <w:rsid w:val="000117D4"/>
    <w:rsid w:val="00011DD3"/>
    <w:rsid w:val="0001310F"/>
    <w:rsid w:val="000166F8"/>
    <w:rsid w:val="00020039"/>
    <w:rsid w:val="00025250"/>
    <w:rsid w:val="000314D7"/>
    <w:rsid w:val="00034054"/>
    <w:rsid w:val="00045F8B"/>
    <w:rsid w:val="00046D2B"/>
    <w:rsid w:val="00056263"/>
    <w:rsid w:val="000628BA"/>
    <w:rsid w:val="00062F12"/>
    <w:rsid w:val="00064D8A"/>
    <w:rsid w:val="00064F82"/>
    <w:rsid w:val="0006649E"/>
    <w:rsid w:val="00066510"/>
    <w:rsid w:val="00073002"/>
    <w:rsid w:val="000750E3"/>
    <w:rsid w:val="000761A5"/>
    <w:rsid w:val="00077523"/>
    <w:rsid w:val="00091A8A"/>
    <w:rsid w:val="00096F43"/>
    <w:rsid w:val="000A01E6"/>
    <w:rsid w:val="000A06B3"/>
    <w:rsid w:val="000A51D7"/>
    <w:rsid w:val="000B1DFC"/>
    <w:rsid w:val="000B1E31"/>
    <w:rsid w:val="000C089F"/>
    <w:rsid w:val="000C3928"/>
    <w:rsid w:val="000C5728"/>
    <w:rsid w:val="000C5D60"/>
    <w:rsid w:val="000C5E8E"/>
    <w:rsid w:val="000C64EB"/>
    <w:rsid w:val="000D4B36"/>
    <w:rsid w:val="000E7E39"/>
    <w:rsid w:val="000F03E5"/>
    <w:rsid w:val="000F16CC"/>
    <w:rsid w:val="000F1BE6"/>
    <w:rsid w:val="000F4751"/>
    <w:rsid w:val="00102164"/>
    <w:rsid w:val="0010524C"/>
    <w:rsid w:val="00111FB1"/>
    <w:rsid w:val="00112F46"/>
    <w:rsid w:val="00113418"/>
    <w:rsid w:val="00117DA8"/>
    <w:rsid w:val="00117EB9"/>
    <w:rsid w:val="00125297"/>
    <w:rsid w:val="00131EA4"/>
    <w:rsid w:val="00133630"/>
    <w:rsid w:val="001347B9"/>
    <w:rsid w:val="001356F1"/>
    <w:rsid w:val="00135D21"/>
    <w:rsid w:val="0013630F"/>
    <w:rsid w:val="00136994"/>
    <w:rsid w:val="0013798E"/>
    <w:rsid w:val="0014128E"/>
    <w:rsid w:val="00151417"/>
    <w:rsid w:val="00151888"/>
    <w:rsid w:val="001526C3"/>
    <w:rsid w:val="00154095"/>
    <w:rsid w:val="00156183"/>
    <w:rsid w:val="00165ECA"/>
    <w:rsid w:val="00170A2D"/>
    <w:rsid w:val="00171982"/>
    <w:rsid w:val="001808BC"/>
    <w:rsid w:val="00180F3B"/>
    <w:rsid w:val="00182B81"/>
    <w:rsid w:val="0018619D"/>
    <w:rsid w:val="00193775"/>
    <w:rsid w:val="001A011E"/>
    <w:rsid w:val="001A066A"/>
    <w:rsid w:val="001A13E6"/>
    <w:rsid w:val="001A5731"/>
    <w:rsid w:val="001B42C3"/>
    <w:rsid w:val="001B557B"/>
    <w:rsid w:val="001C11A5"/>
    <w:rsid w:val="001C3BEE"/>
    <w:rsid w:val="001C5D5E"/>
    <w:rsid w:val="001C7BA9"/>
    <w:rsid w:val="001D678D"/>
    <w:rsid w:val="001E03F8"/>
    <w:rsid w:val="001E1678"/>
    <w:rsid w:val="001E3376"/>
    <w:rsid w:val="001F0C8F"/>
    <w:rsid w:val="00201954"/>
    <w:rsid w:val="002069B3"/>
    <w:rsid w:val="002202AE"/>
    <w:rsid w:val="002228AE"/>
    <w:rsid w:val="00223DCF"/>
    <w:rsid w:val="002312EA"/>
    <w:rsid w:val="00232380"/>
    <w:rsid w:val="002329CF"/>
    <w:rsid w:val="00232F5B"/>
    <w:rsid w:val="002352C5"/>
    <w:rsid w:val="00235C13"/>
    <w:rsid w:val="00237F19"/>
    <w:rsid w:val="00241015"/>
    <w:rsid w:val="00242626"/>
    <w:rsid w:val="002427E5"/>
    <w:rsid w:val="00247C29"/>
    <w:rsid w:val="0025611B"/>
    <w:rsid w:val="0025790F"/>
    <w:rsid w:val="00257E84"/>
    <w:rsid w:val="002601F7"/>
    <w:rsid w:val="00260467"/>
    <w:rsid w:val="00263EA3"/>
    <w:rsid w:val="00265DF7"/>
    <w:rsid w:val="00272C54"/>
    <w:rsid w:val="002764E2"/>
    <w:rsid w:val="00277233"/>
    <w:rsid w:val="002838ED"/>
    <w:rsid w:val="00284F85"/>
    <w:rsid w:val="002870C3"/>
    <w:rsid w:val="00290915"/>
    <w:rsid w:val="002930BB"/>
    <w:rsid w:val="002A117F"/>
    <w:rsid w:val="002A22E2"/>
    <w:rsid w:val="002B00C0"/>
    <w:rsid w:val="002B6836"/>
    <w:rsid w:val="002C64F7"/>
    <w:rsid w:val="002D082F"/>
    <w:rsid w:val="002D5DFA"/>
    <w:rsid w:val="002E3572"/>
    <w:rsid w:val="002F2365"/>
    <w:rsid w:val="002F41F2"/>
    <w:rsid w:val="002F4AB6"/>
    <w:rsid w:val="002F4E6D"/>
    <w:rsid w:val="00301BF3"/>
    <w:rsid w:val="0030208D"/>
    <w:rsid w:val="00311AD8"/>
    <w:rsid w:val="00323418"/>
    <w:rsid w:val="003244EC"/>
    <w:rsid w:val="003313AB"/>
    <w:rsid w:val="003357BF"/>
    <w:rsid w:val="00337697"/>
    <w:rsid w:val="003401D9"/>
    <w:rsid w:val="0034481D"/>
    <w:rsid w:val="0034529B"/>
    <w:rsid w:val="00345C4F"/>
    <w:rsid w:val="00352ABF"/>
    <w:rsid w:val="00364FAD"/>
    <w:rsid w:val="00365E4F"/>
    <w:rsid w:val="0036738F"/>
    <w:rsid w:val="0036759C"/>
    <w:rsid w:val="00367AE5"/>
    <w:rsid w:val="00367D71"/>
    <w:rsid w:val="0037429F"/>
    <w:rsid w:val="00375B55"/>
    <w:rsid w:val="00380D58"/>
    <w:rsid w:val="0038150A"/>
    <w:rsid w:val="00387DA3"/>
    <w:rsid w:val="00397AE6"/>
    <w:rsid w:val="003A610F"/>
    <w:rsid w:val="003B1A81"/>
    <w:rsid w:val="003B6E75"/>
    <w:rsid w:val="003B7DA1"/>
    <w:rsid w:val="003D0379"/>
    <w:rsid w:val="003D2574"/>
    <w:rsid w:val="003D303F"/>
    <w:rsid w:val="003D4C59"/>
    <w:rsid w:val="003E7418"/>
    <w:rsid w:val="003F3F23"/>
    <w:rsid w:val="003F4267"/>
    <w:rsid w:val="003F6424"/>
    <w:rsid w:val="003F7BE9"/>
    <w:rsid w:val="004015C6"/>
    <w:rsid w:val="00404032"/>
    <w:rsid w:val="0040736F"/>
    <w:rsid w:val="0041145E"/>
    <w:rsid w:val="00412C1F"/>
    <w:rsid w:val="00413B3E"/>
    <w:rsid w:val="00416CF1"/>
    <w:rsid w:val="00421CB2"/>
    <w:rsid w:val="00424DC4"/>
    <w:rsid w:val="004268B9"/>
    <w:rsid w:val="0043011D"/>
    <w:rsid w:val="004337C9"/>
    <w:rsid w:val="00433B96"/>
    <w:rsid w:val="00433C9E"/>
    <w:rsid w:val="00433D26"/>
    <w:rsid w:val="004440F1"/>
    <w:rsid w:val="004456DD"/>
    <w:rsid w:val="004463AF"/>
    <w:rsid w:val="00446CDF"/>
    <w:rsid w:val="00447C69"/>
    <w:rsid w:val="004521B7"/>
    <w:rsid w:val="00452AAC"/>
    <w:rsid w:val="004548E0"/>
    <w:rsid w:val="00462AB5"/>
    <w:rsid w:val="00462D22"/>
    <w:rsid w:val="00465EAF"/>
    <w:rsid w:val="00472279"/>
    <w:rsid w:val="004738C5"/>
    <w:rsid w:val="0047737B"/>
    <w:rsid w:val="00491046"/>
    <w:rsid w:val="00496078"/>
    <w:rsid w:val="004A2AC7"/>
    <w:rsid w:val="004A6D2F"/>
    <w:rsid w:val="004B11AE"/>
    <w:rsid w:val="004C050E"/>
    <w:rsid w:val="004C1F2A"/>
    <w:rsid w:val="004C2887"/>
    <w:rsid w:val="004D2626"/>
    <w:rsid w:val="004D39F4"/>
    <w:rsid w:val="004D6E26"/>
    <w:rsid w:val="004D77D3"/>
    <w:rsid w:val="004E2959"/>
    <w:rsid w:val="004F059A"/>
    <w:rsid w:val="004F20EF"/>
    <w:rsid w:val="004F22CE"/>
    <w:rsid w:val="0050321C"/>
    <w:rsid w:val="00504B1F"/>
    <w:rsid w:val="00507ECC"/>
    <w:rsid w:val="0052359E"/>
    <w:rsid w:val="00525451"/>
    <w:rsid w:val="00526CFD"/>
    <w:rsid w:val="00532CEC"/>
    <w:rsid w:val="00532D48"/>
    <w:rsid w:val="0054712D"/>
    <w:rsid w:val="00547EF6"/>
    <w:rsid w:val="00551F44"/>
    <w:rsid w:val="005558E6"/>
    <w:rsid w:val="005570B5"/>
    <w:rsid w:val="00557F25"/>
    <w:rsid w:val="005641F1"/>
    <w:rsid w:val="00566C5D"/>
    <w:rsid w:val="00567E18"/>
    <w:rsid w:val="00575A10"/>
    <w:rsid w:val="00575F5F"/>
    <w:rsid w:val="00581805"/>
    <w:rsid w:val="00585F76"/>
    <w:rsid w:val="005A34E4"/>
    <w:rsid w:val="005A6610"/>
    <w:rsid w:val="005A6F3A"/>
    <w:rsid w:val="005B0BB3"/>
    <w:rsid w:val="005B17F2"/>
    <w:rsid w:val="005B22FC"/>
    <w:rsid w:val="005B3411"/>
    <w:rsid w:val="005B37FE"/>
    <w:rsid w:val="005B6108"/>
    <w:rsid w:val="005B7FB0"/>
    <w:rsid w:val="005C1A47"/>
    <w:rsid w:val="005C35A5"/>
    <w:rsid w:val="005C577C"/>
    <w:rsid w:val="005D0621"/>
    <w:rsid w:val="005D1E27"/>
    <w:rsid w:val="005D2A3E"/>
    <w:rsid w:val="005D2F7F"/>
    <w:rsid w:val="005D4C98"/>
    <w:rsid w:val="005E022E"/>
    <w:rsid w:val="005E327C"/>
    <w:rsid w:val="005E5215"/>
    <w:rsid w:val="005E7113"/>
    <w:rsid w:val="005F7F7E"/>
    <w:rsid w:val="00605689"/>
    <w:rsid w:val="00614693"/>
    <w:rsid w:val="00622A8F"/>
    <w:rsid w:val="00623C2F"/>
    <w:rsid w:val="00633578"/>
    <w:rsid w:val="00637068"/>
    <w:rsid w:val="0064325E"/>
    <w:rsid w:val="00645A36"/>
    <w:rsid w:val="00646139"/>
    <w:rsid w:val="006471FC"/>
    <w:rsid w:val="00650811"/>
    <w:rsid w:val="00655339"/>
    <w:rsid w:val="00656EDC"/>
    <w:rsid w:val="00661D3E"/>
    <w:rsid w:val="00664B8C"/>
    <w:rsid w:val="006656BF"/>
    <w:rsid w:val="006664D7"/>
    <w:rsid w:val="00666C99"/>
    <w:rsid w:val="0068340C"/>
    <w:rsid w:val="006834FA"/>
    <w:rsid w:val="00692627"/>
    <w:rsid w:val="00694832"/>
    <w:rsid w:val="00695959"/>
    <w:rsid w:val="006969E7"/>
    <w:rsid w:val="006A3643"/>
    <w:rsid w:val="006B10C2"/>
    <w:rsid w:val="006C08CB"/>
    <w:rsid w:val="006C2A29"/>
    <w:rsid w:val="006C64CF"/>
    <w:rsid w:val="006C7ECC"/>
    <w:rsid w:val="006D17B1"/>
    <w:rsid w:val="006D21D5"/>
    <w:rsid w:val="006D4752"/>
    <w:rsid w:val="006D708A"/>
    <w:rsid w:val="006E14C1"/>
    <w:rsid w:val="006F0292"/>
    <w:rsid w:val="006F27FA"/>
    <w:rsid w:val="006F416B"/>
    <w:rsid w:val="006F46AA"/>
    <w:rsid w:val="006F519B"/>
    <w:rsid w:val="006F6E15"/>
    <w:rsid w:val="007017E1"/>
    <w:rsid w:val="00702963"/>
    <w:rsid w:val="00713675"/>
    <w:rsid w:val="00714AEA"/>
    <w:rsid w:val="00715823"/>
    <w:rsid w:val="00720CE8"/>
    <w:rsid w:val="0072433D"/>
    <w:rsid w:val="0072449C"/>
    <w:rsid w:val="007253EF"/>
    <w:rsid w:val="00726E7D"/>
    <w:rsid w:val="00727AEC"/>
    <w:rsid w:val="00737B93"/>
    <w:rsid w:val="00745BF0"/>
    <w:rsid w:val="0074707E"/>
    <w:rsid w:val="00747255"/>
    <w:rsid w:val="00751EA3"/>
    <w:rsid w:val="0075473A"/>
    <w:rsid w:val="00755E54"/>
    <w:rsid w:val="007615FE"/>
    <w:rsid w:val="0076655C"/>
    <w:rsid w:val="00767022"/>
    <w:rsid w:val="00773A9B"/>
    <w:rsid w:val="007742DC"/>
    <w:rsid w:val="00791437"/>
    <w:rsid w:val="007A694C"/>
    <w:rsid w:val="007B0C2C"/>
    <w:rsid w:val="007B278E"/>
    <w:rsid w:val="007B3730"/>
    <w:rsid w:val="007B5CA2"/>
    <w:rsid w:val="007B69F4"/>
    <w:rsid w:val="007C19CA"/>
    <w:rsid w:val="007C5C23"/>
    <w:rsid w:val="007C6BD5"/>
    <w:rsid w:val="007D7654"/>
    <w:rsid w:val="007E2A26"/>
    <w:rsid w:val="007F2348"/>
    <w:rsid w:val="007F4757"/>
    <w:rsid w:val="00803F07"/>
    <w:rsid w:val="0080749A"/>
    <w:rsid w:val="00807CB9"/>
    <w:rsid w:val="008122DB"/>
    <w:rsid w:val="00821FB8"/>
    <w:rsid w:val="00822562"/>
    <w:rsid w:val="00822ACD"/>
    <w:rsid w:val="00824B01"/>
    <w:rsid w:val="00826511"/>
    <w:rsid w:val="00832E27"/>
    <w:rsid w:val="00834277"/>
    <w:rsid w:val="00834D4E"/>
    <w:rsid w:val="008423B3"/>
    <w:rsid w:val="0084414E"/>
    <w:rsid w:val="00855C66"/>
    <w:rsid w:val="00863DE5"/>
    <w:rsid w:val="00867D54"/>
    <w:rsid w:val="00871EE4"/>
    <w:rsid w:val="0089081D"/>
    <w:rsid w:val="00894BB8"/>
    <w:rsid w:val="008954DF"/>
    <w:rsid w:val="00895FE5"/>
    <w:rsid w:val="008A4480"/>
    <w:rsid w:val="008A6F75"/>
    <w:rsid w:val="008B293F"/>
    <w:rsid w:val="008B3A25"/>
    <w:rsid w:val="008B4EDE"/>
    <w:rsid w:val="008B7371"/>
    <w:rsid w:val="008D1D01"/>
    <w:rsid w:val="008D3CBF"/>
    <w:rsid w:val="008D3DDB"/>
    <w:rsid w:val="008D5FF2"/>
    <w:rsid w:val="008E7A49"/>
    <w:rsid w:val="008E7FC8"/>
    <w:rsid w:val="008F0004"/>
    <w:rsid w:val="008F3B04"/>
    <w:rsid w:val="008F573F"/>
    <w:rsid w:val="009024EA"/>
    <w:rsid w:val="009034EC"/>
    <w:rsid w:val="00904099"/>
    <w:rsid w:val="00911EC0"/>
    <w:rsid w:val="00914E31"/>
    <w:rsid w:val="00924111"/>
    <w:rsid w:val="0093067A"/>
    <w:rsid w:val="00941C60"/>
    <w:rsid w:val="00941FD1"/>
    <w:rsid w:val="00950824"/>
    <w:rsid w:val="00951CD5"/>
    <w:rsid w:val="00957398"/>
    <w:rsid w:val="00957838"/>
    <w:rsid w:val="0096528C"/>
    <w:rsid w:val="00966D42"/>
    <w:rsid w:val="00971689"/>
    <w:rsid w:val="0097170F"/>
    <w:rsid w:val="00971F2A"/>
    <w:rsid w:val="00972938"/>
    <w:rsid w:val="00973E90"/>
    <w:rsid w:val="00975B07"/>
    <w:rsid w:val="00980B4A"/>
    <w:rsid w:val="0098104C"/>
    <w:rsid w:val="009827C2"/>
    <w:rsid w:val="00984ED1"/>
    <w:rsid w:val="00985B2A"/>
    <w:rsid w:val="00987648"/>
    <w:rsid w:val="009954FD"/>
    <w:rsid w:val="00996A07"/>
    <w:rsid w:val="009A2474"/>
    <w:rsid w:val="009A46A1"/>
    <w:rsid w:val="009B3E8A"/>
    <w:rsid w:val="009B64F7"/>
    <w:rsid w:val="009B799F"/>
    <w:rsid w:val="009D3B30"/>
    <w:rsid w:val="009D4545"/>
    <w:rsid w:val="009D5933"/>
    <w:rsid w:val="009E30E2"/>
    <w:rsid w:val="009E3D0A"/>
    <w:rsid w:val="009E51FC"/>
    <w:rsid w:val="009E5956"/>
    <w:rsid w:val="009F163F"/>
    <w:rsid w:val="009F1D28"/>
    <w:rsid w:val="009F7618"/>
    <w:rsid w:val="00A016B1"/>
    <w:rsid w:val="00A04D23"/>
    <w:rsid w:val="00A06766"/>
    <w:rsid w:val="00A13765"/>
    <w:rsid w:val="00A145B6"/>
    <w:rsid w:val="00A1552A"/>
    <w:rsid w:val="00A21B12"/>
    <w:rsid w:val="00A23F80"/>
    <w:rsid w:val="00A40157"/>
    <w:rsid w:val="00A435C9"/>
    <w:rsid w:val="00A46E98"/>
    <w:rsid w:val="00A542BC"/>
    <w:rsid w:val="00A54790"/>
    <w:rsid w:val="00A54FA6"/>
    <w:rsid w:val="00A6352B"/>
    <w:rsid w:val="00A67B29"/>
    <w:rsid w:val="00A67DC8"/>
    <w:rsid w:val="00A701B5"/>
    <w:rsid w:val="00A707C6"/>
    <w:rsid w:val="00A70EFD"/>
    <w:rsid w:val="00A714BB"/>
    <w:rsid w:val="00A76F45"/>
    <w:rsid w:val="00A77147"/>
    <w:rsid w:val="00A85715"/>
    <w:rsid w:val="00A8619B"/>
    <w:rsid w:val="00A92D8F"/>
    <w:rsid w:val="00A93A6F"/>
    <w:rsid w:val="00A9649C"/>
    <w:rsid w:val="00AA0B60"/>
    <w:rsid w:val="00AA46F1"/>
    <w:rsid w:val="00AB2988"/>
    <w:rsid w:val="00AB5667"/>
    <w:rsid w:val="00AB7999"/>
    <w:rsid w:val="00AC2B86"/>
    <w:rsid w:val="00AC7CBC"/>
    <w:rsid w:val="00AD0E60"/>
    <w:rsid w:val="00AD11D3"/>
    <w:rsid w:val="00AD219A"/>
    <w:rsid w:val="00AD3292"/>
    <w:rsid w:val="00AD4EA5"/>
    <w:rsid w:val="00AD5733"/>
    <w:rsid w:val="00AE1684"/>
    <w:rsid w:val="00AE19B1"/>
    <w:rsid w:val="00AE557C"/>
    <w:rsid w:val="00AE7AF0"/>
    <w:rsid w:val="00AF7F8C"/>
    <w:rsid w:val="00B01522"/>
    <w:rsid w:val="00B01B85"/>
    <w:rsid w:val="00B024B2"/>
    <w:rsid w:val="00B1330B"/>
    <w:rsid w:val="00B13712"/>
    <w:rsid w:val="00B1459C"/>
    <w:rsid w:val="00B21684"/>
    <w:rsid w:val="00B25570"/>
    <w:rsid w:val="00B256C5"/>
    <w:rsid w:val="00B32A83"/>
    <w:rsid w:val="00B34F87"/>
    <w:rsid w:val="00B46BAA"/>
    <w:rsid w:val="00B500CA"/>
    <w:rsid w:val="00B72A13"/>
    <w:rsid w:val="00B745DB"/>
    <w:rsid w:val="00B74C44"/>
    <w:rsid w:val="00B86143"/>
    <w:rsid w:val="00B86314"/>
    <w:rsid w:val="00B90C80"/>
    <w:rsid w:val="00B92B7E"/>
    <w:rsid w:val="00BA1C2E"/>
    <w:rsid w:val="00BB19D2"/>
    <w:rsid w:val="00BB1EE5"/>
    <w:rsid w:val="00BB341A"/>
    <w:rsid w:val="00BB4426"/>
    <w:rsid w:val="00BC200B"/>
    <w:rsid w:val="00BC4756"/>
    <w:rsid w:val="00BC69A4"/>
    <w:rsid w:val="00BD6181"/>
    <w:rsid w:val="00BE0680"/>
    <w:rsid w:val="00BE305F"/>
    <w:rsid w:val="00BE57A8"/>
    <w:rsid w:val="00BE7BA3"/>
    <w:rsid w:val="00BF1492"/>
    <w:rsid w:val="00BF5682"/>
    <w:rsid w:val="00BF5DCF"/>
    <w:rsid w:val="00BF7B09"/>
    <w:rsid w:val="00C01384"/>
    <w:rsid w:val="00C0219D"/>
    <w:rsid w:val="00C05260"/>
    <w:rsid w:val="00C076B9"/>
    <w:rsid w:val="00C10627"/>
    <w:rsid w:val="00C149A5"/>
    <w:rsid w:val="00C20A95"/>
    <w:rsid w:val="00C2692F"/>
    <w:rsid w:val="00C3207C"/>
    <w:rsid w:val="00C3399C"/>
    <w:rsid w:val="00C369F4"/>
    <w:rsid w:val="00C400E1"/>
    <w:rsid w:val="00C41187"/>
    <w:rsid w:val="00C4596A"/>
    <w:rsid w:val="00C57C67"/>
    <w:rsid w:val="00C61BEB"/>
    <w:rsid w:val="00C62217"/>
    <w:rsid w:val="00C63C31"/>
    <w:rsid w:val="00C668E1"/>
    <w:rsid w:val="00C67BB0"/>
    <w:rsid w:val="00C757A0"/>
    <w:rsid w:val="00C760DE"/>
    <w:rsid w:val="00C76CBA"/>
    <w:rsid w:val="00C82630"/>
    <w:rsid w:val="00C83CA8"/>
    <w:rsid w:val="00C85B4E"/>
    <w:rsid w:val="00C907F7"/>
    <w:rsid w:val="00CA2103"/>
    <w:rsid w:val="00CB21E8"/>
    <w:rsid w:val="00CB57A8"/>
    <w:rsid w:val="00CB5E39"/>
    <w:rsid w:val="00CB6B99"/>
    <w:rsid w:val="00CB6BA5"/>
    <w:rsid w:val="00CC15B1"/>
    <w:rsid w:val="00CD2E2E"/>
    <w:rsid w:val="00CE4C87"/>
    <w:rsid w:val="00CE544A"/>
    <w:rsid w:val="00CF61FD"/>
    <w:rsid w:val="00D006A1"/>
    <w:rsid w:val="00D11E1C"/>
    <w:rsid w:val="00D13A32"/>
    <w:rsid w:val="00D15AF7"/>
    <w:rsid w:val="00D160B0"/>
    <w:rsid w:val="00D16222"/>
    <w:rsid w:val="00D17F94"/>
    <w:rsid w:val="00D2020D"/>
    <w:rsid w:val="00D223FC"/>
    <w:rsid w:val="00D26D1E"/>
    <w:rsid w:val="00D27F97"/>
    <w:rsid w:val="00D30506"/>
    <w:rsid w:val="00D30522"/>
    <w:rsid w:val="00D44FCA"/>
    <w:rsid w:val="00D474CF"/>
    <w:rsid w:val="00D53E89"/>
    <w:rsid w:val="00D5547E"/>
    <w:rsid w:val="00D6303F"/>
    <w:rsid w:val="00D707C3"/>
    <w:rsid w:val="00D851F5"/>
    <w:rsid w:val="00D860E2"/>
    <w:rsid w:val="00D869A1"/>
    <w:rsid w:val="00D878E6"/>
    <w:rsid w:val="00D87ED1"/>
    <w:rsid w:val="00D96122"/>
    <w:rsid w:val="00DA413F"/>
    <w:rsid w:val="00DA4584"/>
    <w:rsid w:val="00DA614B"/>
    <w:rsid w:val="00DA7B7D"/>
    <w:rsid w:val="00DB54C3"/>
    <w:rsid w:val="00DB7AD7"/>
    <w:rsid w:val="00DC030B"/>
    <w:rsid w:val="00DC21CC"/>
    <w:rsid w:val="00DC3060"/>
    <w:rsid w:val="00DC64BF"/>
    <w:rsid w:val="00DD67DC"/>
    <w:rsid w:val="00DD6AC2"/>
    <w:rsid w:val="00DE0FB2"/>
    <w:rsid w:val="00DE4DFC"/>
    <w:rsid w:val="00DE5952"/>
    <w:rsid w:val="00DE771E"/>
    <w:rsid w:val="00DF0888"/>
    <w:rsid w:val="00DF093E"/>
    <w:rsid w:val="00DF2910"/>
    <w:rsid w:val="00DF5406"/>
    <w:rsid w:val="00DF54E6"/>
    <w:rsid w:val="00DF6339"/>
    <w:rsid w:val="00E01F42"/>
    <w:rsid w:val="00E162FB"/>
    <w:rsid w:val="00E206D6"/>
    <w:rsid w:val="00E2504C"/>
    <w:rsid w:val="00E3366E"/>
    <w:rsid w:val="00E4001E"/>
    <w:rsid w:val="00E4008C"/>
    <w:rsid w:val="00E403F7"/>
    <w:rsid w:val="00E41464"/>
    <w:rsid w:val="00E443F7"/>
    <w:rsid w:val="00E457FB"/>
    <w:rsid w:val="00E46B1F"/>
    <w:rsid w:val="00E47092"/>
    <w:rsid w:val="00E52086"/>
    <w:rsid w:val="00E543A6"/>
    <w:rsid w:val="00E60479"/>
    <w:rsid w:val="00E61D73"/>
    <w:rsid w:val="00E70167"/>
    <w:rsid w:val="00E73684"/>
    <w:rsid w:val="00E802B7"/>
    <w:rsid w:val="00E818D6"/>
    <w:rsid w:val="00E81BC6"/>
    <w:rsid w:val="00E821D0"/>
    <w:rsid w:val="00E85AE2"/>
    <w:rsid w:val="00E87F7A"/>
    <w:rsid w:val="00E94B3E"/>
    <w:rsid w:val="00E96BD7"/>
    <w:rsid w:val="00EA0DB1"/>
    <w:rsid w:val="00EA0EE9"/>
    <w:rsid w:val="00EB222C"/>
    <w:rsid w:val="00EB4F8F"/>
    <w:rsid w:val="00ED52CA"/>
    <w:rsid w:val="00ED5860"/>
    <w:rsid w:val="00ED7FCE"/>
    <w:rsid w:val="00EE2E9A"/>
    <w:rsid w:val="00EE35C9"/>
    <w:rsid w:val="00EE4E4E"/>
    <w:rsid w:val="00EF03B2"/>
    <w:rsid w:val="00EF1B43"/>
    <w:rsid w:val="00EF3184"/>
    <w:rsid w:val="00EF3BF2"/>
    <w:rsid w:val="00F05ECA"/>
    <w:rsid w:val="00F06D1F"/>
    <w:rsid w:val="00F16033"/>
    <w:rsid w:val="00F26E21"/>
    <w:rsid w:val="00F2733F"/>
    <w:rsid w:val="00F27837"/>
    <w:rsid w:val="00F3566E"/>
    <w:rsid w:val="00F375FB"/>
    <w:rsid w:val="00F41AC1"/>
    <w:rsid w:val="00F4367A"/>
    <w:rsid w:val="00F445B1"/>
    <w:rsid w:val="00F45CD4"/>
    <w:rsid w:val="00F51B16"/>
    <w:rsid w:val="00F66C3A"/>
    <w:rsid w:val="00F66DCA"/>
    <w:rsid w:val="00F74F53"/>
    <w:rsid w:val="00F7606D"/>
    <w:rsid w:val="00F81670"/>
    <w:rsid w:val="00F82024"/>
    <w:rsid w:val="00F865A3"/>
    <w:rsid w:val="00F90288"/>
    <w:rsid w:val="00F91F6E"/>
    <w:rsid w:val="00F95BC9"/>
    <w:rsid w:val="00FA4A57"/>
    <w:rsid w:val="00FA624C"/>
    <w:rsid w:val="00FB3B71"/>
    <w:rsid w:val="00FC0611"/>
    <w:rsid w:val="00FD0FAC"/>
    <w:rsid w:val="00FD1DFA"/>
    <w:rsid w:val="00FD2683"/>
    <w:rsid w:val="00FD4966"/>
    <w:rsid w:val="00FE1B2C"/>
    <w:rsid w:val="00FE57DC"/>
    <w:rsid w:val="00FF095A"/>
    <w:rsid w:val="017DBC16"/>
    <w:rsid w:val="05B94C3D"/>
    <w:rsid w:val="07D434D5"/>
    <w:rsid w:val="0AEAD29A"/>
    <w:rsid w:val="0B89A7FD"/>
    <w:rsid w:val="0B9090B8"/>
    <w:rsid w:val="0E137018"/>
    <w:rsid w:val="0ECD8498"/>
    <w:rsid w:val="0FB9297F"/>
    <w:rsid w:val="11DE2519"/>
    <w:rsid w:val="150E6135"/>
    <w:rsid w:val="16C788FA"/>
    <w:rsid w:val="187CEEE6"/>
    <w:rsid w:val="18B12936"/>
    <w:rsid w:val="1BC0B843"/>
    <w:rsid w:val="1BDE6ACD"/>
    <w:rsid w:val="1C62DB68"/>
    <w:rsid w:val="1E2AA5CE"/>
    <w:rsid w:val="22F0553C"/>
    <w:rsid w:val="238A6E87"/>
    <w:rsid w:val="24AA93AA"/>
    <w:rsid w:val="25C8DF4C"/>
    <w:rsid w:val="27395084"/>
    <w:rsid w:val="278ACBEA"/>
    <w:rsid w:val="282C914F"/>
    <w:rsid w:val="2875A525"/>
    <w:rsid w:val="292FE417"/>
    <w:rsid w:val="29894939"/>
    <w:rsid w:val="2D6A9296"/>
    <w:rsid w:val="2DC2B855"/>
    <w:rsid w:val="3323D874"/>
    <w:rsid w:val="33C8C2FF"/>
    <w:rsid w:val="34C5ADE6"/>
    <w:rsid w:val="34ECE2A5"/>
    <w:rsid w:val="35E68B5F"/>
    <w:rsid w:val="36A62889"/>
    <w:rsid w:val="3742E73C"/>
    <w:rsid w:val="38C4BD77"/>
    <w:rsid w:val="3A028991"/>
    <w:rsid w:val="3A1580BC"/>
    <w:rsid w:val="3BB43EC8"/>
    <w:rsid w:val="3C9559B9"/>
    <w:rsid w:val="3D75EE1D"/>
    <w:rsid w:val="4165F553"/>
    <w:rsid w:val="420149D4"/>
    <w:rsid w:val="431C3BF6"/>
    <w:rsid w:val="43F42839"/>
    <w:rsid w:val="47265693"/>
    <w:rsid w:val="4DC9FD09"/>
    <w:rsid w:val="4DF06A9C"/>
    <w:rsid w:val="51049B70"/>
    <w:rsid w:val="52141FE7"/>
    <w:rsid w:val="530E7F80"/>
    <w:rsid w:val="53124442"/>
    <w:rsid w:val="54BD7E5A"/>
    <w:rsid w:val="562DCFA1"/>
    <w:rsid w:val="571C62E4"/>
    <w:rsid w:val="58C16BAB"/>
    <w:rsid w:val="5C2301F2"/>
    <w:rsid w:val="5CD2A867"/>
    <w:rsid w:val="5D0EC0A9"/>
    <w:rsid w:val="5D6151B1"/>
    <w:rsid w:val="5D6EE46E"/>
    <w:rsid w:val="5DE62121"/>
    <w:rsid w:val="60B35EF8"/>
    <w:rsid w:val="613D2893"/>
    <w:rsid w:val="62B73EE3"/>
    <w:rsid w:val="636BDC7A"/>
    <w:rsid w:val="6BFBC2A1"/>
    <w:rsid w:val="6E566429"/>
    <w:rsid w:val="6ECA3545"/>
    <w:rsid w:val="70F8304B"/>
    <w:rsid w:val="7276546A"/>
    <w:rsid w:val="75E01BB2"/>
    <w:rsid w:val="76D8CABF"/>
    <w:rsid w:val="7F3A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7421A9"/>
  <w15:docId w15:val="{5B2BA3E5-8E0C-4EC8-9220-F637E856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5F76"/>
    <w:pPr>
      <w:spacing w:after="120"/>
    </w:pPr>
    <w:rPr>
      <w:color w:val="000000"/>
      <w:sz w:val="24"/>
      <w:szCs w:val="24"/>
    </w:rPr>
  </w:style>
  <w:style w:type="paragraph" w:styleId="Heading1">
    <w:name w:val="heading 1"/>
    <w:aliases w:val="aHeading"/>
    <w:basedOn w:val="Normal"/>
    <w:next w:val="Normal"/>
    <w:link w:val="Heading1Char"/>
    <w:uiPriority w:val="9"/>
    <w:qFormat/>
    <w:rsid w:val="002B6836"/>
    <w:pPr>
      <w:spacing w:before="240"/>
      <w:outlineLvl w:val="0"/>
    </w:pPr>
    <w:rPr>
      <w:b/>
    </w:rPr>
  </w:style>
  <w:style w:type="paragraph" w:styleId="Heading2">
    <w:name w:val="heading 2"/>
    <w:aliases w:val="Sub-heading"/>
    <w:basedOn w:val="Normal"/>
    <w:next w:val="Normal"/>
    <w:qFormat/>
    <w:rsid w:val="00F26E21"/>
    <w:pPr>
      <w:spacing w:before="120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zzFooter"/>
    <w:basedOn w:val="Normal"/>
    <w:link w:val="FooterChar"/>
    <w:uiPriority w:val="99"/>
    <w:rsid w:val="004A6D2F"/>
    <w:pPr>
      <w:tabs>
        <w:tab w:val="center" w:pos="4153"/>
        <w:tab w:val="right" w:pos="8306"/>
      </w:tabs>
    </w:pPr>
    <w:rPr>
      <w:sz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customStyle="1" w:styleId="StyleBulletedSymbolsymbolLeft063cmHanging063cm">
    <w:name w:val="Style Bulleted Symbol (symbol) Left:  0.63 cm Hanging:  0.63 cm"/>
    <w:basedOn w:val="NoList"/>
    <w:rsid w:val="00E818D6"/>
    <w:pPr>
      <w:numPr>
        <w:numId w:val="16"/>
      </w:numPr>
    </w:pPr>
  </w:style>
  <w:style w:type="character" w:styleId="PageNumber">
    <w:name w:val="page number"/>
    <w:rsid w:val="004A6D2F"/>
    <w:rPr>
      <w:rFonts w:ascii="Arial" w:hAnsi="Arial"/>
      <w:sz w:val="18"/>
    </w:rPr>
  </w:style>
  <w:style w:type="character" w:styleId="Hyperlink">
    <w:name w:val="Hyperlink"/>
    <w:aliases w:val="set Hyperlink"/>
    <w:uiPriority w:val="99"/>
    <w:qFormat/>
    <w:rsid w:val="003D2574"/>
    <w:rPr>
      <w:rFonts w:ascii="Arial" w:hAnsi="Arial"/>
      <w:color w:val="0000FF"/>
      <w:sz w:val="24"/>
      <w:u w:val="single"/>
    </w:rPr>
  </w:style>
  <w:style w:type="table" w:styleId="TableGrid">
    <w:name w:val="Table Grid"/>
    <w:basedOn w:val="TableNormal"/>
    <w:rsid w:val="001A0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E96BD7"/>
    <w:pPr>
      <w:spacing w:after="120"/>
    </w:pPr>
    <w:rPr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570B5"/>
    <w:pPr>
      <w:numPr>
        <w:numId w:val="14"/>
      </w:numPr>
      <w:tabs>
        <w:tab w:val="left" w:pos="426"/>
      </w:tabs>
      <w:ind w:left="426" w:hanging="426"/>
    </w:pPr>
  </w:style>
  <w:style w:type="character" w:customStyle="1" w:styleId="HeaderChar">
    <w:name w:val="Header Char"/>
    <w:link w:val="Header"/>
    <w:uiPriority w:val="99"/>
    <w:rsid w:val="004A6D2F"/>
    <w:rPr>
      <w:rFonts w:ascii="Arial" w:hAnsi="Arial"/>
      <w:bCs/>
      <w:color w:val="000000"/>
      <w:sz w:val="18"/>
      <w:szCs w:val="24"/>
      <w:lang w:eastAsia="en-US"/>
    </w:rPr>
  </w:style>
  <w:style w:type="table" w:styleId="LightList-Accent2">
    <w:name w:val="Light List Accent 2"/>
    <w:basedOn w:val="TableNormal"/>
    <w:uiPriority w:val="61"/>
    <w:rsid w:val="00421CB2"/>
    <w:rPr>
      <w:rFonts w:eastAsia="Calibri" w:cs="Arial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Shading-Accent2">
    <w:name w:val="Light Shading Accent 2"/>
    <w:basedOn w:val="TableNormal"/>
    <w:uiPriority w:val="60"/>
    <w:rsid w:val="00CB6B99"/>
    <w:rPr>
      <w:rFonts w:eastAsia="Calibri" w:cs="Arial"/>
      <w:color w:val="943634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Revision">
    <w:name w:val="Revision"/>
    <w:hidden/>
    <w:uiPriority w:val="99"/>
    <w:semiHidden/>
    <w:rsid w:val="009034EC"/>
    <w:pPr>
      <w:spacing w:after="120"/>
    </w:pPr>
    <w:rPr>
      <w:color w:val="000000"/>
      <w:sz w:val="24"/>
      <w:szCs w:val="24"/>
      <w:lang w:eastAsia="en-US"/>
    </w:rPr>
  </w:style>
  <w:style w:type="paragraph" w:customStyle="1" w:styleId="Tableandfigurecaption">
    <w:name w:val="Table and figure caption"/>
    <w:basedOn w:val="Heading2"/>
    <w:rsid w:val="00692627"/>
    <w:pPr>
      <w:ind w:left="360"/>
    </w:pPr>
    <w:rPr>
      <w:bCs/>
      <w:szCs w:val="20"/>
    </w:rPr>
  </w:style>
  <w:style w:type="numbering" w:customStyle="1" w:styleId="StyleNumberedLeft0cmHanging075cm">
    <w:name w:val="Style Numbered Left:  0 cm Hanging:  0.75 cm"/>
    <w:basedOn w:val="NoList"/>
    <w:rsid w:val="00E818D6"/>
    <w:pPr>
      <w:numPr>
        <w:numId w:val="13"/>
      </w:numPr>
    </w:pPr>
  </w:style>
  <w:style w:type="paragraph" w:customStyle="1" w:styleId="Bulletpoints">
    <w:name w:val="Bullet points"/>
    <w:basedOn w:val="Normal"/>
    <w:link w:val="BulletpointsChar"/>
    <w:qFormat/>
    <w:rsid w:val="005570B5"/>
    <w:pPr>
      <w:numPr>
        <w:numId w:val="15"/>
      </w:numPr>
      <w:tabs>
        <w:tab w:val="left" w:pos="993"/>
      </w:tabs>
      <w:ind w:left="993" w:hanging="425"/>
    </w:pPr>
  </w:style>
  <w:style w:type="paragraph" w:styleId="Quote">
    <w:name w:val="Quote"/>
    <w:basedOn w:val="Normal"/>
    <w:next w:val="Normal"/>
    <w:link w:val="QuoteChar"/>
    <w:uiPriority w:val="29"/>
    <w:qFormat/>
    <w:rsid w:val="004A6D2F"/>
    <w:rPr>
      <w:i/>
      <w:iCs/>
    </w:rPr>
  </w:style>
  <w:style w:type="character" w:customStyle="1" w:styleId="BulletpointsChar">
    <w:name w:val="Bullet points Char"/>
    <w:link w:val="Bulletpoints"/>
    <w:rsid w:val="005570B5"/>
    <w:rPr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4A6D2F"/>
    <w:rPr>
      <w:rFonts w:ascii="Arial" w:hAnsi="Arial"/>
      <w:i/>
      <w:iCs/>
      <w:color w:val="000000"/>
      <w:sz w:val="24"/>
      <w:szCs w:val="24"/>
      <w:lang w:eastAsia="en-US"/>
    </w:rPr>
  </w:style>
  <w:style w:type="character" w:customStyle="1" w:styleId="FooterChar">
    <w:name w:val="Footer Char"/>
    <w:aliases w:val="zzFooter Char"/>
    <w:link w:val="Footer"/>
    <w:uiPriority w:val="99"/>
    <w:rsid w:val="004B11AE"/>
    <w:rPr>
      <w:color w:val="000000"/>
      <w:sz w:val="18"/>
      <w:szCs w:val="24"/>
    </w:rPr>
  </w:style>
  <w:style w:type="character" w:customStyle="1" w:styleId="Firstpagetablebold">
    <w:name w:val="First page table: bold"/>
    <w:qFormat/>
    <w:rsid w:val="005D1E27"/>
    <w:rPr>
      <w:rFonts w:ascii="Arial" w:hAnsi="Arial"/>
      <w:b/>
      <w:sz w:val="24"/>
    </w:rPr>
  </w:style>
  <w:style w:type="paragraph" w:customStyle="1" w:styleId="bParagraphtext">
    <w:name w:val="bParagraph text"/>
    <w:basedOn w:val="ListParagraph"/>
    <w:link w:val="bParagraphtextChar"/>
    <w:qFormat/>
    <w:rsid w:val="004268B9"/>
  </w:style>
  <w:style w:type="paragraph" w:styleId="Caption">
    <w:name w:val="caption"/>
    <w:basedOn w:val="Normal"/>
    <w:next w:val="Normal"/>
    <w:unhideWhenUsed/>
    <w:qFormat/>
    <w:rsid w:val="0093067A"/>
    <w:pPr>
      <w:spacing w:before="120"/>
      <w:jc w:val="center"/>
    </w:pPr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5570B5"/>
    <w:rPr>
      <w:color w:val="000000"/>
      <w:sz w:val="24"/>
      <w:szCs w:val="24"/>
    </w:rPr>
  </w:style>
  <w:style w:type="character" w:customStyle="1" w:styleId="bParagraphtextChar">
    <w:name w:val="bParagraph text Char"/>
    <w:link w:val="bParagraphtext"/>
    <w:rsid w:val="005570B5"/>
    <w:rPr>
      <w:color w:val="000000"/>
      <w:sz w:val="24"/>
      <w:szCs w:val="24"/>
    </w:rPr>
  </w:style>
  <w:style w:type="paragraph" w:customStyle="1" w:styleId="Numberedlist">
    <w:name w:val="Numbered list"/>
    <w:basedOn w:val="Bulletpoints"/>
    <w:link w:val="NumberedlistChar"/>
    <w:qFormat/>
    <w:rsid w:val="004738C5"/>
    <w:pPr>
      <w:numPr>
        <w:numId w:val="23"/>
      </w:numPr>
      <w:ind w:left="993" w:hanging="426"/>
    </w:pPr>
  </w:style>
  <w:style w:type="character" w:customStyle="1" w:styleId="Heading1Char">
    <w:name w:val="Heading 1 Char"/>
    <w:aliases w:val="aHeading Char"/>
    <w:link w:val="Heading1"/>
    <w:rsid w:val="002B6836"/>
    <w:rPr>
      <w:b/>
      <w:color w:val="000000"/>
      <w:sz w:val="24"/>
      <w:szCs w:val="24"/>
    </w:rPr>
  </w:style>
  <w:style w:type="paragraph" w:styleId="TOAHeading">
    <w:name w:val="toa heading"/>
    <w:basedOn w:val="Normal"/>
    <w:next w:val="Normal"/>
    <w:rsid w:val="005570B5"/>
    <w:pPr>
      <w:spacing w:before="120"/>
    </w:pPr>
    <w:rPr>
      <w:rFonts w:ascii="Cambria" w:hAnsi="Cambria"/>
      <w:b/>
      <w:bCs/>
    </w:rPr>
  </w:style>
  <w:style w:type="character" w:customStyle="1" w:styleId="NumberedlistChar">
    <w:name w:val="Numbered list Char"/>
    <w:link w:val="Numberedlist"/>
    <w:rsid w:val="004738C5"/>
    <w:rPr>
      <w:color w:val="000000"/>
      <w:sz w:val="24"/>
      <w:szCs w:val="24"/>
    </w:rPr>
  </w:style>
  <w:style w:type="table" w:styleId="TableColumns1">
    <w:name w:val="Table Columns 1"/>
    <w:basedOn w:val="TableNormal"/>
    <w:rsid w:val="00507ECC"/>
    <w:pPr>
      <w:spacing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07ECC"/>
    <w:pPr>
      <w:spacing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07ECC"/>
    <w:pPr>
      <w:spacing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1">
    <w:name w:val="Light List Accent 1"/>
    <w:basedOn w:val="TableNormal"/>
    <w:uiPriority w:val="61"/>
    <w:rsid w:val="00507EC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2764E2"/>
    <w:pPr>
      <w:spacing w:after="100"/>
    </w:pPr>
    <w:rPr>
      <w:rFonts w:eastAsiaTheme="minorHAnsi" w:cs="Arial"/>
      <w:color w:val="auto"/>
      <w:kern w:val="2"/>
      <w:lang w:eastAsia="en-US"/>
      <w14:ligatures w14:val="standardContextu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3C9E"/>
    <w:pPr>
      <w:keepNext/>
      <w:keepLines/>
      <w:spacing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0084659A8C14A869EF91DDC71B369" ma:contentTypeVersion="4" ma:contentTypeDescription="Create a new document." ma:contentTypeScope="" ma:versionID="1bef9870b4cf41f2705c813fc741edcd">
  <xsd:schema xmlns:xsd="http://www.w3.org/2001/XMLSchema" xmlns:xs="http://www.w3.org/2001/XMLSchema" xmlns:p="http://schemas.microsoft.com/office/2006/metadata/properties" xmlns:ns2="ac7a786f-a2c7-4d9b-96a8-3d484e57d929" targetNamespace="http://schemas.microsoft.com/office/2006/metadata/properties" ma:root="true" ma:fieldsID="79fddb1682badac180f0e3c21b57d876" ns2:_="">
    <xsd:import namespace="ac7a786f-a2c7-4d9b-96a8-3d484e57d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a786f-a2c7-4d9b-96a8-3d484e57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AB3A03-4A4E-47ED-89A1-4FA3C2B6C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1259E-0B4D-4C39-A3CD-420F49837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7a786f-a2c7-4d9b-96a8-3d484e57d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6AB859-1359-4A59-AAB8-A2A5B8A58C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0405AF-D84A-4F04-BF3E-250BAA20EF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4262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OxCityCouncil Cabinet report</vt:lpstr>
    </vt:vector>
  </TitlesOfParts>
  <Company>Oxford City Council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OxCityCouncil Cabinet report</dc:title>
  <dc:creator>jmitchell</dc:creator>
  <cp:keywords>OxCityCouncil Report</cp:keywords>
  <cp:lastModifiedBy>MALTON Jonathan</cp:lastModifiedBy>
  <cp:revision>3</cp:revision>
  <cp:lastPrinted>2015-07-03T13:50:00Z</cp:lastPrinted>
  <dcterms:created xsi:type="dcterms:W3CDTF">2025-07-02T18:36:00Z</dcterms:created>
  <dcterms:modified xsi:type="dcterms:W3CDTF">2025-07-02T18:40:00Z</dcterms:modified>
  <cp:category>Report to Council or Committee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0x010100A470084659A8C14A869EF91DDC71B369</vt:lpwstr>
  </property>
</Properties>
</file>